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 xml:space="preserve">AGENDA FISCALĂ A LUNII </w:t>
      </w:r>
      <w:r w:rsidR="002447E0">
        <w:rPr>
          <w:b/>
          <w:sz w:val="40"/>
          <w:szCs w:val="40"/>
        </w:rPr>
        <w:t>FEBR</w:t>
      </w:r>
      <w:r w:rsidR="00E53080">
        <w:rPr>
          <w:b/>
          <w:sz w:val="40"/>
          <w:szCs w:val="40"/>
        </w:rPr>
        <w:t>UA</w:t>
      </w:r>
      <w:r w:rsidR="0061169C">
        <w:rPr>
          <w:b/>
          <w:sz w:val="40"/>
          <w:szCs w:val="40"/>
        </w:rPr>
        <w:t>RIE</w:t>
      </w:r>
      <w:r w:rsidR="00E53080">
        <w:rPr>
          <w:b/>
          <w:sz w:val="40"/>
          <w:szCs w:val="40"/>
        </w:rPr>
        <w:t xml:space="preserve"> 2019</w:t>
      </w:r>
    </w:p>
    <w:p w:rsidR="0061169C" w:rsidRPr="001B7AA8" w:rsidRDefault="00B564A3" w:rsidP="001B7AA8">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1B7AA8" w:rsidRDefault="001B7AA8"/>
    <w:tbl>
      <w:tblPr>
        <w:tblW w:w="918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7"/>
        <w:gridCol w:w="4176"/>
        <w:gridCol w:w="3817"/>
      </w:tblGrid>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2447E0" w:rsidRDefault="002447E0" w:rsidP="002447E0">
            <w:pPr>
              <w:spacing w:line="252" w:lineRule="atLeast"/>
              <w:jc w:val="center"/>
              <w:rPr>
                <w:rFonts w:ascii="Segoe UI" w:hAnsi="Segoe UI" w:cs="Segoe UI"/>
                <w:b/>
                <w:bCs/>
                <w:color w:val="009933"/>
              </w:rPr>
            </w:pPr>
            <w:r>
              <w:rPr>
                <w:rFonts w:ascii="Segoe UI" w:hAnsi="Segoe UI" w:cs="Segoe UI"/>
                <w:b/>
                <w:bCs/>
                <w:color w:val="009933"/>
              </w:rPr>
              <w:t>TERMEN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2447E0" w:rsidRDefault="002447E0" w:rsidP="002447E0">
            <w:pPr>
              <w:spacing w:line="252" w:lineRule="atLeast"/>
              <w:jc w:val="center"/>
              <w:rPr>
                <w:rFonts w:ascii="Segoe UI" w:hAnsi="Segoe UI" w:cs="Segoe UI"/>
                <w:color w:val="000000"/>
              </w:rPr>
            </w:pPr>
            <w:r>
              <w:rPr>
                <w:rFonts w:ascii="Segoe UI" w:hAnsi="Segoe UI" w:cs="Segoe UI"/>
                <w:b/>
                <w:bCs/>
                <w:color w:val="009933"/>
              </w:rPr>
              <w:t>OBLIGAȚIE FISCALĂ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2447E0" w:rsidRDefault="002447E0" w:rsidP="002447E0">
            <w:pPr>
              <w:spacing w:line="252" w:lineRule="atLeast"/>
              <w:jc w:val="center"/>
              <w:rPr>
                <w:rFonts w:ascii="Segoe UI" w:hAnsi="Segoe UI" w:cs="Segoe UI"/>
                <w:color w:val="000000"/>
              </w:rPr>
            </w:pPr>
            <w:r>
              <w:rPr>
                <w:rFonts w:ascii="Segoe UI" w:hAnsi="Segoe UI" w:cs="Segoe UI"/>
                <w:b/>
                <w:bCs/>
                <w:color w:val="009933"/>
              </w:rPr>
              <w:t>CINE TREBUIE S-O REZOLVE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rPr>
            </w:pPr>
            <w:r>
              <w:rPr>
                <w:rFonts w:ascii="Segoe UI" w:hAnsi="Segoe UI" w:cs="Segoe UI"/>
                <w:b/>
                <w:bCs/>
                <w:color w:val="009933"/>
              </w:rPr>
              <w:t>7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6" w:history="1">
              <w:r w:rsidRPr="002447E0">
                <w:rPr>
                  <w:rStyle w:val="Hyperlink"/>
                  <w:rFonts w:ascii="Segoe UI" w:hAnsi="Segoe UI" w:cs="Segoe UI"/>
                  <w:b/>
                </w:rPr>
                <w:t>Formularul 092</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11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proofErr w:type="gramStart"/>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7" w:history="1">
              <w:r w:rsidRPr="002447E0">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8"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9" w:history="1">
              <w:r w:rsidRPr="002447E0">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0"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xml:space="preserve">- 070 Declarație de înregistrare fiscală/Declarație de mențiuni/Declarație de radiere pentru persoanele fizice care desfășoară activități economice în mod independent sau exercită profesii libere </w:t>
            </w:r>
            <w:r>
              <w:rPr>
                <w:rFonts w:ascii="Segoe UI" w:hAnsi="Segoe UI" w:cs="Segoe UI"/>
                <w:color w:val="000000"/>
              </w:rPr>
              <w:lastRenderedPageBreak/>
              <w:t>- </w:t>
            </w:r>
            <w:hyperlink r:id="rId11" w:history="1">
              <w:r w:rsidRPr="002447E0">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2" w:history="1">
              <w:r>
                <w:rPr>
                  <w:rStyle w:val="Hyperlink"/>
                  <w:rFonts w:ascii="Segoe UI" w:hAnsi="Segoe UI" w:cs="Segoe UI"/>
                </w:rPr>
                <w:t>Formularul electronic 700</w:t>
              </w:r>
            </w:hyperlink>
            <w:r>
              <w:rPr>
                <w:rFonts w:ascii="Segoe UI" w:hAnsi="Segoe UI" w:cs="Segoe UI"/>
                <w:color w:val="000000"/>
              </w:rPr>
              <w:t>, după caz.</w:t>
            </w:r>
            <w:proofErr w:type="gram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lastRenderedPageBreak/>
              <w:t>Persoanele impozabile, înregistrate în scopuri de TVA conform art. 316 din Legea 227/2015, care nu au depășit plafonul de scutire și care doresc să fie scoase din evidența persoanelor înregistrate în scopuri de TVA.</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11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3" w:history="1">
              <w:r w:rsidRPr="002447E0">
                <w:rPr>
                  <w:rStyle w:val="Hyperlink"/>
                  <w:rFonts w:ascii="Segoe UI" w:hAnsi="Segoe UI" w:cs="Segoe UI"/>
                  <w:b/>
                </w:rPr>
                <w:t>Formularul 087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4" w:history="1">
              <w:r>
                <w:rPr>
                  <w:rStyle w:val="Hyperlink"/>
                  <w:rFonts w:ascii="Segoe UI" w:hAnsi="Segoe UI" w:cs="Segoe UI"/>
                </w:rPr>
                <w:t>Anexa nr.4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5" w:history="1">
              <w:r>
                <w:rPr>
                  <w:rStyle w:val="Hyperlink"/>
                  <w:rFonts w:ascii="Segoe UI" w:hAnsi="Segoe UI" w:cs="Segoe UI"/>
                </w:rPr>
                <w:t>Anexa nr.3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6" w:history="1">
              <w:r>
                <w:rPr>
                  <w:rStyle w:val="Hyperlink"/>
                  <w:rFonts w:ascii="Segoe UI" w:hAnsi="Segoe UI" w:cs="Segoe UI"/>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17" w:history="1">
              <w:r>
                <w:rPr>
                  <w:rStyle w:val="Hyperlink"/>
                  <w:rFonts w:ascii="Segoe UI" w:hAnsi="Segoe UI" w:cs="Segoe UI"/>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18" w:history="1">
              <w:r>
                <w:rPr>
                  <w:rStyle w:val="Hyperlink"/>
                  <w:rFonts w:ascii="Segoe UI" w:hAnsi="Segoe UI" w:cs="Segoe UI"/>
                </w:rPr>
                <w:t>Anexa nr.19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19" w:history="1">
              <w:r>
                <w:rPr>
                  <w:rStyle w:val="Hyperlink"/>
                  <w:rFonts w:ascii="Segoe UI" w:hAnsi="Segoe UI" w:cs="Segoe UI"/>
                </w:rPr>
                <w:t>Anexa nr.12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0" w:history="1">
              <w:r>
                <w:rPr>
                  <w:rStyle w:val="Hyperlink"/>
                  <w:rFonts w:ascii="Segoe UI" w:hAnsi="Segoe UI" w:cs="Segoe UI"/>
                </w:rPr>
                <w:t>Anexa nr.13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1" w:history="1">
              <w:r>
                <w:rPr>
                  <w:rStyle w:val="Hyperlink"/>
                  <w:rFonts w:ascii="Segoe UI" w:hAnsi="Segoe UI" w:cs="Segoe UI"/>
                </w:rPr>
                <w:t>Anexa nr.14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2" w:history="1">
              <w:r>
                <w:rPr>
                  <w:rStyle w:val="Hyperlink"/>
                  <w:rFonts w:ascii="Segoe UI" w:hAnsi="Segoe UI" w:cs="Segoe UI"/>
                </w:rPr>
                <w:t>Anexa nr.15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3" w:history="1">
              <w:r>
                <w:rPr>
                  <w:rStyle w:val="Hyperlink"/>
                  <w:rFonts w:ascii="Segoe UI" w:hAnsi="Segoe UI" w:cs="Segoe UI"/>
                </w:rPr>
                <w:t xml:space="preserve">Anexa nr.16 din </w:t>
              </w:r>
              <w:r>
                <w:rPr>
                  <w:rStyle w:val="Hyperlink"/>
                  <w:rFonts w:ascii="Segoe UI" w:hAnsi="Segoe UI" w:cs="Segoe UI"/>
                </w:rPr>
                <w:lastRenderedPageBreak/>
                <w:t>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lastRenderedPageBreak/>
              <w:t>Antrepozitarii autorizați pentru producție produse accizabile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4" w:history="1">
              <w:r>
                <w:rPr>
                  <w:rStyle w:val="Hyperlink"/>
                  <w:rFonts w:ascii="Segoe UI" w:hAnsi="Segoe UI" w:cs="Segoe UI"/>
                </w:rPr>
                <w:t>Anexa nr.17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5"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6" w:history="1">
              <w:r>
                <w:rPr>
                  <w:rStyle w:val="Hyperlink"/>
                  <w:rFonts w:ascii="Segoe UI" w:hAnsi="Segoe UI" w:cs="Segoe UI"/>
                </w:rPr>
                <w:t>Anexa nr.31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27"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28" w:history="1">
              <w:r>
                <w:rPr>
                  <w:rStyle w:val="Hyperlink"/>
                  <w:rFonts w:ascii="Segoe UI" w:hAnsi="Segoe UI" w:cs="Segoe UI"/>
                </w:rPr>
                <w:t>Anexa nr.32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29" w:history="1">
              <w:r>
                <w:rPr>
                  <w:rStyle w:val="Hyperlink"/>
                  <w:rFonts w:ascii="Segoe UI" w:hAnsi="Segoe UI" w:cs="Segoe UI"/>
                </w:rPr>
                <w:t>Anexa nr.21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0" w:history="1">
              <w:r>
                <w:rPr>
                  <w:rStyle w:val="Hyperlink"/>
                  <w:rFonts w:ascii="Segoe UI" w:hAnsi="Segoe UI" w:cs="Segoe UI"/>
                </w:rPr>
                <w:t xml:space="preserve">Anexa nr.42 din </w:t>
              </w:r>
              <w:r>
                <w:rPr>
                  <w:rStyle w:val="Hyperlink"/>
                  <w:rFonts w:ascii="Segoe UI" w:hAnsi="Segoe UI" w:cs="Segoe UI"/>
                </w:rPr>
                <w:lastRenderedPageBreak/>
                <w:t>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lastRenderedPageBreak/>
              <w:t>Antrepozitarii autorizați, destinatarii înregistrați și importatorii autorizați de produse supuse marcării</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15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Declarației anuale de venit pentru asocierile fără personalitate juridică și entități supuse regimului transparenței fiscale - </w:t>
            </w:r>
            <w:hyperlink r:id="rId31" w:history="1">
              <w:r w:rsidRPr="002447E0">
                <w:rPr>
                  <w:rStyle w:val="Hyperlink"/>
                  <w:rFonts w:ascii="Segoe UI" w:hAnsi="Segoe UI" w:cs="Segoe UI"/>
                  <w:b/>
                </w:rPr>
                <w:t>Formularul 204</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Asocierile, cu excepția celor care realizează venituri din activități agricole impuse pe baza de norme de venit</w:t>
            </w:r>
          </w:p>
        </w:tc>
      </w:tr>
      <w:tr w:rsidR="000C7D45"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C7D45" w:rsidRDefault="000C7D45">
            <w:pPr>
              <w:spacing w:line="252" w:lineRule="atLeast"/>
              <w:jc w:val="center"/>
              <w:rPr>
                <w:rFonts w:ascii="Segoe UI" w:hAnsi="Segoe UI" w:cs="Segoe UI"/>
                <w:b/>
                <w:bCs/>
                <w:color w:val="009933"/>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C7D45" w:rsidRDefault="000C7D45" w:rsidP="000C7D45">
            <w:pPr>
              <w:spacing w:line="252" w:lineRule="atLeast"/>
              <w:rPr>
                <w:rFonts w:ascii="Segoe UI" w:hAnsi="Segoe UI" w:cs="Segoe UI"/>
                <w:color w:val="000000"/>
              </w:rPr>
            </w:pPr>
            <w:r w:rsidRPr="000C7D45">
              <w:rPr>
                <w:rFonts w:ascii="Segoe UI" w:hAnsi="Segoe UI" w:cs="Segoe UI"/>
                <w:color w:val="000000"/>
              </w:rPr>
              <w:t>Declararea și plata taxei lunare reprezentând 2% calculată la totalul taxelo</w:t>
            </w:r>
            <w:r>
              <w:rPr>
                <w:rFonts w:ascii="Segoe UI" w:hAnsi="Segoe UI" w:cs="Segoe UI"/>
                <w:color w:val="000000"/>
              </w:rPr>
              <w:t>r de participare încasate lunar (pentru luna anterioară)</w:t>
            </w:r>
          </w:p>
          <w:p w:rsidR="000C7D45" w:rsidRDefault="000C7D45" w:rsidP="000C7D45">
            <w:pPr>
              <w:spacing w:line="252" w:lineRule="atLeast"/>
              <w:rPr>
                <w:rFonts w:ascii="Segoe UI" w:hAnsi="Segoe UI" w:cs="Segoe UI"/>
                <w:color w:val="000000"/>
              </w:rPr>
            </w:pPr>
            <w:r w:rsidRPr="000C7D45">
              <w:rPr>
                <w:rFonts w:ascii="Segoe UI" w:hAnsi="Segoe UI" w:cs="Segoe UI"/>
                <w:b/>
                <w:i/>
                <w:color w:val="000000"/>
              </w:rPr>
              <w:t>(</w:t>
            </w:r>
            <w:r>
              <w:rPr>
                <w:rFonts w:ascii="Segoe UI" w:hAnsi="Segoe UI" w:cs="Segoe UI"/>
                <w:b/>
                <w:i/>
                <w:color w:val="000000"/>
              </w:rPr>
              <w:t>D</w:t>
            </w:r>
            <w:r w:rsidRPr="000C7D45">
              <w:rPr>
                <w:rFonts w:ascii="Segoe UI" w:hAnsi="Segoe UI" w:cs="Segoe UI"/>
                <w:b/>
                <w:i/>
                <w:color w:val="000000"/>
              </w:rPr>
              <w:t>eclarația și modul de calcul al taxei încă n-au fost stabilite de ANAF și ONJN)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C7D45" w:rsidRDefault="000C7D45">
            <w:pPr>
              <w:spacing w:line="252" w:lineRule="atLeast"/>
              <w:rPr>
                <w:rFonts w:ascii="Segoe UI" w:hAnsi="Segoe UI" w:cs="Segoe UI"/>
                <w:color w:val="000000"/>
              </w:rPr>
            </w:pPr>
            <w:r>
              <w:rPr>
                <w:rFonts w:ascii="Segoe UI" w:hAnsi="Segoe UI" w:cs="Segoe UI"/>
                <w:color w:val="000000"/>
              </w:rPr>
              <w:t>O</w:t>
            </w:r>
            <w:r w:rsidRPr="000C7D45">
              <w:rPr>
                <w:rFonts w:ascii="Segoe UI" w:hAnsi="Segoe UI" w:cs="Segoe UI"/>
                <w:color w:val="000000"/>
              </w:rPr>
              <w:t>rganizatorii de jocuri de noroc online prevăzuți în Ordonanța de urgență a Guvernului nr. 77/2009 privind organizarea și exploatarea jocurilor de noroc</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2" w:history="1">
              <w:r w:rsidRPr="002447E0">
                <w:rPr>
                  <w:rStyle w:val="Hyperlink"/>
                  <w:rFonts w:ascii="Segoe UI" w:hAnsi="Segoe UI" w:cs="Segoe UI"/>
                  <w:b/>
                </w:rPr>
                <w:t>Formularul 100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drepturi de proprietate intelectuală, impozit pe veniturile din arendarea bunurilor agricole,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w:t>
            </w:r>
            <w:proofErr w:type="gramStart"/>
            <w:r>
              <w:rPr>
                <w:rFonts w:ascii="Segoe UI" w:hAnsi="Segoe UI" w:cs="Segoe UI"/>
                <w:color w:val="000000"/>
              </w:rPr>
              <w:t>1.1.</w:t>
            </w:r>
            <w:r>
              <w:rPr>
                <w:rFonts w:ascii="Segoe UI" w:hAnsi="Segoe UI" w:cs="Segoe UI"/>
                <w:color w:val="000000"/>
              </w:rPr>
              <w:br/>
            </w:r>
            <w:r>
              <w:rPr>
                <w:rStyle w:val="Strong"/>
                <w:rFonts w:ascii="Segoe UI" w:hAnsi="Segoe UI" w:cs="Segoe UI"/>
                <w:color w:val="000000"/>
              </w:rPr>
              <w:lastRenderedPageBreak/>
              <w:t>- alte termene</w:t>
            </w:r>
            <w:r>
              <w:rPr>
                <w:rFonts w:ascii="Segoe UI" w:hAnsi="Segoe UI" w:cs="Segoe UI"/>
                <w:color w:val="000000"/>
              </w:rPr>
              <w:t> - contribuabilii care au următoarele obligații de plată la bugetul de stat:</w:t>
            </w:r>
            <w:r>
              <w:rPr>
                <w:rFonts w:ascii="Segoe UI" w:hAnsi="Segoe UI" w:cs="Segoe UI"/>
                <w:color w:val="000000"/>
              </w:rPr>
              <w:br/>
              <w:t>- pentru plățile anticipate aferente trimestrului IV, în cazul contribuabililor care declară și plătesc impozit pe profit anual;</w:t>
            </w:r>
            <w:r>
              <w:rPr>
                <w:rFonts w:ascii="Segoe UI" w:hAnsi="Segoe UI" w:cs="Segoe UI"/>
                <w:color w:val="000000"/>
              </w:rPr>
              <w:br/>
              <w:t>- în cazul impozitului pe profit datorat de contribuabilii care au optat pentru anul fiscal diferit de anul calendaristic;</w:t>
            </w:r>
            <w:r>
              <w:rPr>
                <w:rFonts w:ascii="Segoe UI" w:hAnsi="Segoe UI" w:cs="Segoe UI"/>
                <w:color w:val="000000"/>
              </w:rPr>
              <w:br/>
              <w:t>- alte obligații de plată prevăzute în OPANAF 587/2016 la anexa 4, cap.</w:t>
            </w:r>
            <w:proofErr w:type="gramEnd"/>
            <w:r>
              <w:rPr>
                <w:rFonts w:ascii="Segoe UI" w:hAnsi="Segoe UI" w:cs="Segoe UI"/>
                <w:color w:val="000000"/>
              </w:rPr>
              <w:t xml:space="preserve"> I, pct. 1, subpct. 1.3.</w:t>
            </w:r>
            <w:r>
              <w:rPr>
                <w:rFonts w:ascii="Segoe UI" w:hAnsi="Segoe UI" w:cs="Segoe UI"/>
                <w:color w:val="000000"/>
              </w:rPr>
              <w:br/>
              <w:t>(vezi instrucțiunile de completare din formular)</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Declararea și plata impozitului pe profit pe anul precedent - </w:t>
            </w:r>
            <w:hyperlink r:id="rId33" w:history="1">
              <w:r w:rsidRPr="002447E0">
                <w:rPr>
                  <w:rStyle w:val="Hyperlink"/>
                  <w:rFonts w:ascii="Segoe UI" w:hAnsi="Segoe UI" w:cs="Segoe UI"/>
                  <w:b/>
                </w:rPr>
                <w:t>Formularul 101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 Organizațiile nonprofit</w:t>
            </w:r>
            <w:r>
              <w:rPr>
                <w:rFonts w:ascii="Segoe UI" w:hAnsi="Segoe UI" w:cs="Segoe UI"/>
                <w:color w:val="000000"/>
              </w:rPr>
              <w:br/>
            </w:r>
            <w:r>
              <w:rPr>
                <w:rFonts w:ascii="Segoe UI" w:hAnsi="Segoe UI" w:cs="Segoe UI"/>
                <w:color w:val="000000"/>
              </w:rPr>
              <w:br/>
              <w:t>- Contribuabilii care obțin venituri majoritare din cultura cerealelor, a plantelor tehnice și a cartofului, pomicultură și viticultură</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b/>
                <w:color w:val="000000"/>
              </w:rPr>
            </w:pPr>
            <w:r>
              <w:rPr>
                <w:rFonts w:ascii="Segoe UI" w:hAnsi="Segoe UI" w:cs="Segoe UI"/>
                <w:color w:val="000000"/>
              </w:rPr>
              <w:t>Depunerea Declarației privind obligațiile de plată a contribuțiilor sociale, impozitului pe venit și evidența nominală a persoanelor asigurate pentru luna precedentă - </w:t>
            </w:r>
            <w:hyperlink r:id="rId34" w:history="1">
              <w:r w:rsidRPr="002447E0">
                <w:rPr>
                  <w:rStyle w:val="Hyperlink"/>
                  <w:rFonts w:ascii="Segoe UI" w:hAnsi="Segoe UI" w:cs="Segoe UI"/>
                  <w:b/>
                </w:rPr>
                <w:t>Formularul 112</w:t>
              </w:r>
            </w:hyperlink>
            <w:r w:rsidR="000C7D45">
              <w:rPr>
                <w:rFonts w:ascii="Segoe UI" w:hAnsi="Segoe UI" w:cs="Segoe UI"/>
                <w:b/>
                <w:color w:val="000000"/>
              </w:rPr>
              <w:t>*</w:t>
            </w:r>
          </w:p>
          <w:p w:rsidR="000C7D45" w:rsidRDefault="000C7D45">
            <w:pPr>
              <w:spacing w:line="252" w:lineRule="atLeast"/>
              <w:rPr>
                <w:rFonts w:ascii="Segoe UI" w:hAnsi="Segoe UI" w:cs="Segoe UI"/>
                <w:b/>
                <w:color w:val="000000"/>
              </w:rPr>
            </w:pPr>
          </w:p>
          <w:p w:rsidR="000C7D45" w:rsidRPr="000C7D45" w:rsidRDefault="000C7D45" w:rsidP="000C7D45">
            <w:pPr>
              <w:spacing w:line="252" w:lineRule="atLeast"/>
              <w:rPr>
                <w:rFonts w:ascii="Segoe UI" w:hAnsi="Segoe UI" w:cs="Segoe UI"/>
                <w:i/>
                <w:color w:val="000000"/>
              </w:rPr>
            </w:pPr>
            <w:r w:rsidRPr="000C7D45">
              <w:rPr>
                <w:rFonts w:ascii="Segoe UI" w:hAnsi="Segoe UI" w:cs="Segoe UI"/>
                <w:b/>
                <w:i/>
                <w:color w:val="000000"/>
              </w:rPr>
              <w:t>*</w:t>
            </w:r>
            <w:r w:rsidRPr="000C7D45">
              <w:rPr>
                <w:rFonts w:ascii="Segoe UI" w:hAnsi="Segoe UI" w:cs="Segoe UI"/>
                <w:i/>
                <w:color w:val="000000"/>
              </w:rPr>
              <w:t>Din această lună, se declară taxele salariale reduse pentru domeniul construcțiilor, în cazul angajaților cu venituri lunare brute între 3.000 și 30.000 de lei.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 xml:space="preserve">Depunerea Declarației privind veniturile sub formă de salarii și asimilate salariilor din străinătate obținute de către </w:t>
            </w:r>
            <w:r>
              <w:rPr>
                <w:rFonts w:ascii="Segoe UI" w:hAnsi="Segoe UI" w:cs="Segoe UI"/>
                <w:color w:val="000000"/>
              </w:rPr>
              <w:lastRenderedPageBreak/>
              <w:t>persoanele fizice care desfășoară activitate în România pentru luna precedentă - </w:t>
            </w:r>
            <w:hyperlink r:id="rId35" w:history="1">
              <w:r w:rsidRPr="000C7D45">
                <w:rPr>
                  <w:rStyle w:val="Hyperlink"/>
                  <w:rFonts w:ascii="Segoe UI" w:hAnsi="Segoe UI" w:cs="Segoe UI"/>
                  <w:b/>
                </w:rPr>
                <w:t>Formularul 224</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proofErr w:type="gramStart"/>
            <w:r>
              <w:rPr>
                <w:rFonts w:ascii="Segoe UI" w:hAnsi="Segoe UI" w:cs="Segoe UI"/>
                <w:color w:val="000000"/>
              </w:rPr>
              <w:lastRenderedPageBreak/>
              <w:t xml:space="preserve">Persoanele fizice care își desfășoară activitatea în România, obțin venituri sub formă de salarii sau asimilate </w:t>
            </w:r>
            <w:r>
              <w:rPr>
                <w:rFonts w:ascii="Segoe UI" w:hAnsi="Segoe UI" w:cs="Segoe UI"/>
                <w:color w:val="000000"/>
              </w:rPr>
              <w:lastRenderedPageBreak/>
              <w:t>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2447E0" w:rsidTr="002447E0">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6" w:history="1">
              <w:r w:rsidRPr="000C7D45">
                <w:rPr>
                  <w:rStyle w:val="Hyperlink"/>
                  <w:rFonts w:ascii="Segoe UI" w:hAnsi="Segoe UI" w:cs="Segoe UI"/>
                  <w:b/>
                </w:rPr>
                <w:t>Formularul 300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2447E0" w:rsidTr="002447E0">
        <w:trPr>
          <w:trHeight w:val="92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37" w:history="1">
              <w:r w:rsidRPr="000C7D45">
                <w:rPr>
                  <w:rStyle w:val="Hyperlink"/>
                  <w:rFonts w:ascii="Segoe UI" w:hAnsi="Segoe UI" w:cs="Segoe UI"/>
                  <w:b/>
                </w:rPr>
                <w:t>Formularul 301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2447E0" w:rsidTr="002447E0">
        <w:trPr>
          <w:trHeight w:val="107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Cererii privind utilizarea ca perioadă fiscală pentru TVA a semestrului sau anului calendaristic pentru anul curent - </w:t>
            </w:r>
            <w:hyperlink r:id="rId38" w:history="1">
              <w:r w:rsidRPr="000C7D45">
                <w:rPr>
                  <w:rStyle w:val="Hyperlink"/>
                  <w:rFonts w:ascii="Segoe UI" w:hAnsi="Segoe UI" w:cs="Segoe UI"/>
                  <w:b/>
                </w:rPr>
                <w:t>Formularul 306</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Persoanele impozabile înregistrate în scopuri de TVA conform art.316 din Legea nr.227/2015.</w:t>
            </w:r>
          </w:p>
        </w:tc>
      </w:tr>
      <w:tr w:rsidR="002447E0" w:rsidTr="002447E0">
        <w:trPr>
          <w:trHeight w:val="107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 xml:space="preserve">Depunerea Declarației privind sumele rezultate din ajustarea taxei pe valoarea adăugată </w:t>
            </w:r>
            <w:r w:rsidRPr="000C7D45">
              <w:rPr>
                <w:rFonts w:ascii="Segoe UI" w:hAnsi="Segoe UI" w:cs="Segoe UI"/>
                <w:b/>
                <w:color w:val="000000"/>
              </w:rPr>
              <w:t>- </w:t>
            </w:r>
            <w:hyperlink r:id="rId39" w:history="1">
              <w:r w:rsidRPr="000C7D45">
                <w:rPr>
                  <w:rStyle w:val="Hyperlink"/>
                  <w:rFonts w:ascii="Segoe UI" w:hAnsi="Segoe UI" w:cs="Segoe UI"/>
                  <w:b/>
                </w:rPr>
                <w:t>Formularul 307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și g) din Legea nr.227/2015</w:t>
            </w:r>
          </w:p>
        </w:tc>
      </w:tr>
      <w:tr w:rsidR="002447E0" w:rsidTr="002447E0">
        <w:trPr>
          <w:trHeight w:val="168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40" w:history="1">
              <w:r w:rsidRPr="000C7D45">
                <w:rPr>
                  <w:rStyle w:val="Hyperlink"/>
                  <w:rFonts w:ascii="Segoe UI" w:hAnsi="Segoe UI" w:cs="Segoe UI"/>
                  <w:b/>
                </w:rPr>
                <w:t>Formularul 311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2447E0" w:rsidTr="002447E0">
        <w:trPr>
          <w:trHeight w:val="107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41" w:history="1">
              <w:r w:rsidRPr="000C7D45">
                <w:rPr>
                  <w:rStyle w:val="Hyperlink"/>
                  <w:rFonts w:ascii="Segoe UI" w:hAnsi="Segoe UI" w:cs="Segoe UI"/>
                  <w:b/>
                </w:rPr>
                <w:t>Formularul 390 VIES</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2447E0" w:rsidTr="002447E0">
        <w:trPr>
          <w:trHeight w:val="169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Plata impozitului reținut la sursă în luna precedentă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w:t>
            </w:r>
            <w:r>
              <w:rPr>
                <w:rFonts w:ascii="Segoe UI" w:hAnsi="Segoe UI" w:cs="Segoe UI"/>
                <w:color w:val="000000"/>
              </w:rPr>
              <w:b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2447E0" w:rsidTr="002447E0">
        <w:trPr>
          <w:trHeight w:val="107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42" w:history="1">
              <w:r w:rsidRPr="000C7D45">
                <w:rPr>
                  <w:rStyle w:val="Hyperlink"/>
                  <w:rFonts w:ascii="Segoe UI" w:hAnsi="Segoe UI" w:cs="Segoe UI"/>
                  <w:b/>
                </w:rPr>
                <w:t>Formularul 097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2447E0" w:rsidTr="002447E0">
        <w:trPr>
          <w:trHeight w:val="446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25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proofErr w:type="gramStart"/>
            <w:r>
              <w:rPr>
                <w:rFonts w:ascii="Segoe UI" w:hAnsi="Segoe UI" w:cs="Segoe UI"/>
                <w:color w:val="000000"/>
              </w:rPr>
              <w:t xml:space="preserve">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w:t>
            </w:r>
            <w:r>
              <w:rPr>
                <w:rFonts w:ascii="Segoe UI" w:hAnsi="Segoe UI" w:cs="Segoe UI"/>
                <w:color w:val="000000"/>
              </w:rPr>
              <w:lastRenderedPageBreak/>
              <w:t>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lastRenderedPageBreak/>
              <w:t>Organizatorii de jocuri de tip pariu, jocuri de noroc, bingo organizate prin TV, pariuri on-line, jocuri bingo prin internet, sisteme de telefonie fixă sau mobilă, jocuri de noroc on-line.</w:t>
            </w:r>
          </w:p>
        </w:tc>
      </w:tr>
      <w:tr w:rsidR="000C7D45" w:rsidTr="002447E0">
        <w:trPr>
          <w:trHeight w:val="446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C7D45" w:rsidRDefault="000C7D45">
            <w:pPr>
              <w:spacing w:line="252" w:lineRule="atLeast"/>
              <w:jc w:val="center"/>
              <w:rPr>
                <w:rFonts w:ascii="Segoe UI" w:hAnsi="Segoe UI" w:cs="Segoe UI"/>
                <w:b/>
                <w:bCs/>
                <w:color w:val="009933"/>
              </w:rPr>
            </w:pPr>
            <w:r>
              <w:rPr>
                <w:rFonts w:ascii="Segoe UI" w:hAnsi="Segoe UI" w:cs="Segoe UI"/>
                <w:b/>
                <w:bCs/>
                <w:color w:val="009933"/>
              </w:rPr>
              <w:t>28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C7D45" w:rsidRDefault="000C7D45" w:rsidP="0089006B">
            <w:pPr>
              <w:spacing w:line="252" w:lineRule="atLeast"/>
              <w:rPr>
                <w:rFonts w:ascii="Segoe UI" w:hAnsi="Segoe UI" w:cs="Segoe UI"/>
                <w:color w:val="000000"/>
              </w:rPr>
            </w:pPr>
            <w:r w:rsidRPr="000C7D45">
              <w:rPr>
                <w:rFonts w:ascii="Segoe UI" w:hAnsi="Segoe UI" w:cs="Segoe UI"/>
                <w:color w:val="000000"/>
              </w:rPr>
              <w:t>Depunerea Declarației privind activitatea desfășurată de către agențiile de turism organizatoare</w:t>
            </w:r>
            <w:r w:rsidR="0089006B">
              <w:rPr>
                <w:rFonts w:ascii="Segoe UI" w:hAnsi="Segoe UI" w:cs="Segoe UI"/>
                <w:color w:val="000000"/>
              </w:rPr>
              <w:t xml:space="preserve"> (pentru luna anterioară</w:t>
            </w:r>
            <w:bookmarkStart w:id="0" w:name="_GoBack"/>
            <w:bookmarkEnd w:id="0"/>
            <w:r w:rsidR="0089006B">
              <w:rPr>
                <w:rFonts w:ascii="Segoe UI" w:hAnsi="Segoe UI" w:cs="Segoe UI"/>
                <w:color w:val="000000"/>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C7D45" w:rsidRDefault="0089006B">
            <w:pPr>
              <w:spacing w:line="252" w:lineRule="atLeast"/>
              <w:rPr>
                <w:rFonts w:ascii="Segoe UI" w:hAnsi="Segoe UI" w:cs="Segoe UI"/>
                <w:color w:val="000000"/>
              </w:rPr>
            </w:pPr>
            <w:r w:rsidRPr="0089006B">
              <w:rPr>
                <w:rFonts w:ascii="Segoe UI" w:hAnsi="Segoe UI" w:cs="Segoe UI"/>
                <w:color w:val="000000"/>
              </w:rPr>
              <w:t>Operatorii economici deținători ai unei licențe de turism valabile pentru activitatea de organizare către Ministerul Turismului prin completarea unui formular, în sensul art. 19 din Ordonanța Guvernului nr. 2/2018 privind pachetele de servicii de călătorie și serviciile de călătorie asociate, precum și pentru modificarea unor acte normative</w:t>
            </w:r>
            <w:r>
              <w:rPr>
                <w:rFonts w:ascii="Segoe UI" w:hAnsi="Segoe UI" w:cs="Segoe UI"/>
                <w:color w:val="000000"/>
              </w:rPr>
              <w:t xml:space="preserve"> </w:t>
            </w:r>
            <w:r>
              <w:rPr>
                <w:rFonts w:ascii="Segoe UI" w:hAnsi="Segoe UI" w:cs="Segoe UI"/>
                <w:color w:val="000000"/>
              </w:rPr>
              <w:t>(OMT nr. 1.183/2018)</w:t>
            </w:r>
          </w:p>
        </w:tc>
      </w:tr>
      <w:tr w:rsidR="002447E0" w:rsidTr="002447E0">
        <w:trPr>
          <w:trHeight w:val="91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28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Declarației anuale privind impozitul pe reprezentanță - </w:t>
            </w:r>
            <w:hyperlink r:id="rId43" w:history="1">
              <w:r w:rsidRPr="000C7D45">
                <w:rPr>
                  <w:rStyle w:val="Hyperlink"/>
                  <w:rFonts w:ascii="Segoe UI" w:hAnsi="Segoe UI" w:cs="Segoe UI"/>
                  <w:b/>
                </w:rPr>
                <w:t>Formular 108</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Reprezentanța unei/unor persoane juridice străine, autorizată să funcționeze în România, potrivit legii.</w:t>
            </w:r>
          </w:p>
        </w:tc>
      </w:tr>
      <w:tr w:rsidR="002447E0" w:rsidTr="002447E0">
        <w:trPr>
          <w:trHeight w:val="169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28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 xml:space="preserve">Depunere Declarației informative privind veniturile de natură salarială sau asimilate salariilor, inclusiv remunerațiile administratorilor și ale altor persoane asimilate acestora, rezidenți ai altor state membre ale Uniunii Europene, realizate </w:t>
            </w:r>
            <w:r>
              <w:rPr>
                <w:rFonts w:ascii="Segoe UI" w:hAnsi="Segoe UI" w:cs="Segoe UI"/>
                <w:color w:val="000000"/>
              </w:rPr>
              <w:lastRenderedPageBreak/>
              <w:t>în România pentru anul precedent - </w:t>
            </w:r>
            <w:hyperlink r:id="rId44" w:history="1">
              <w:r w:rsidRPr="000C7D45">
                <w:rPr>
                  <w:rStyle w:val="Hyperlink"/>
                  <w:rFonts w:ascii="Segoe UI" w:hAnsi="Segoe UI" w:cs="Segoe UI"/>
                  <w:b/>
                </w:rPr>
                <w:t>Formularul 402</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lastRenderedPageBreak/>
              <w:t xml:space="preserve">Plătitorii veniturilor de natură salarială sau asimilate salariilor/remunerațiilor administratorilor și ale altor persoane asimilate acestora, denumiți în continuare entități </w:t>
            </w:r>
            <w:r>
              <w:rPr>
                <w:rFonts w:ascii="Segoe UI" w:hAnsi="Segoe UI" w:cs="Segoe UI"/>
                <w:color w:val="000000"/>
              </w:rPr>
              <w:lastRenderedPageBreak/>
              <w:t>raportoare, care au obligația calculării, reținerii și virării impozitului pe veniturile din astfel de remunerații.</w:t>
            </w:r>
          </w:p>
        </w:tc>
      </w:tr>
      <w:tr w:rsidR="002447E0" w:rsidTr="002447E0">
        <w:trPr>
          <w:trHeight w:val="13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28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Declarației informative privind produsele de asigurări de viață contractate de rezidenți ai altor state membre ale Uniunii Europene pe teritoriul României pentru anul precedent - </w:t>
            </w:r>
            <w:hyperlink r:id="rId45" w:history="1">
              <w:r w:rsidRPr="000C7D45">
                <w:rPr>
                  <w:rStyle w:val="Hyperlink"/>
                  <w:rFonts w:ascii="Segoe UI" w:hAnsi="Segoe UI" w:cs="Segoe UI"/>
                  <w:b/>
                </w:rPr>
                <w:t>Formularul 403</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Asigurătorii, definiți conform Legii nr.32/2000 privind activitatea de asigurare și supravegherea asigurărilor, cu modificările și completările ulterioare.</w:t>
            </w:r>
          </w:p>
        </w:tc>
      </w:tr>
      <w:tr w:rsidR="002447E0" w:rsidTr="002447E0">
        <w:trPr>
          <w:trHeight w:val="107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28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6" w:history="1">
              <w:r>
                <w:rPr>
                  <w:rStyle w:val="Hyperlink"/>
                  <w:rFonts w:ascii="Segoe UI" w:hAnsi="Segoe UI" w:cs="Segoe UI"/>
                </w:rPr>
                <w:t>Anexa nr.27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2447E0" w:rsidTr="002447E0">
        <w:trPr>
          <w:trHeight w:val="2919"/>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jc w:val="center"/>
              <w:rPr>
                <w:rFonts w:ascii="Segoe UI" w:hAnsi="Segoe UI" w:cs="Segoe UI"/>
                <w:b/>
                <w:bCs/>
                <w:color w:val="009933"/>
                <w:sz w:val="24"/>
                <w:szCs w:val="24"/>
              </w:rPr>
            </w:pPr>
            <w:r>
              <w:rPr>
                <w:rFonts w:ascii="Segoe UI" w:hAnsi="Segoe UI" w:cs="Segoe UI"/>
                <w:b/>
                <w:bCs/>
                <w:color w:val="009933"/>
              </w:rPr>
              <w:t>28 februarie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7" w:history="1">
              <w:r w:rsidRPr="000C7D45">
                <w:rPr>
                  <w:rStyle w:val="Hyperlink"/>
                  <w:rFonts w:ascii="Segoe UI" w:hAnsi="Segoe UI" w:cs="Segoe UI"/>
                  <w:b/>
                </w:rPr>
                <w:t>Formularul 394</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2447E0" w:rsidRDefault="002447E0">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bl>
    <w:p w:rsidR="001B7AA8" w:rsidRDefault="001B7AA8"/>
    <w:sectPr w:rsidR="001B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3FB"/>
    <w:multiLevelType w:val="hybridMultilevel"/>
    <w:tmpl w:val="3278B762"/>
    <w:lvl w:ilvl="0" w:tplc="5D087B9A">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08A9"/>
    <w:multiLevelType w:val="hybridMultilevel"/>
    <w:tmpl w:val="B3EAA126"/>
    <w:lvl w:ilvl="0" w:tplc="55A03E1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7649F"/>
    <w:rsid w:val="000C7D45"/>
    <w:rsid w:val="001112F3"/>
    <w:rsid w:val="001174F5"/>
    <w:rsid w:val="001B7AA8"/>
    <w:rsid w:val="001D0EB4"/>
    <w:rsid w:val="002447E0"/>
    <w:rsid w:val="004C19AC"/>
    <w:rsid w:val="0061169C"/>
    <w:rsid w:val="00613F29"/>
    <w:rsid w:val="006625C6"/>
    <w:rsid w:val="006817E9"/>
    <w:rsid w:val="006E7C9F"/>
    <w:rsid w:val="0089006B"/>
    <w:rsid w:val="0097000F"/>
    <w:rsid w:val="00A7656D"/>
    <w:rsid w:val="00B564A3"/>
    <w:rsid w:val="00B97FBE"/>
    <w:rsid w:val="00D130CF"/>
    <w:rsid w:val="00DB3684"/>
    <w:rsid w:val="00E53080"/>
    <w:rsid w:val="00E7490B"/>
    <w:rsid w:val="00E9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525"/>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1176260773">
      <w:bodyDiv w:val="1"/>
      <w:marLeft w:val="0"/>
      <w:marRight w:val="0"/>
      <w:marTop w:val="0"/>
      <w:marBottom w:val="0"/>
      <w:divBdr>
        <w:top w:val="none" w:sz="0" w:space="0" w:color="auto"/>
        <w:left w:val="none" w:sz="0" w:space="0" w:color="auto"/>
        <w:bottom w:val="none" w:sz="0" w:space="0" w:color="auto"/>
        <w:right w:val="none" w:sz="0" w:space="0" w:color="auto"/>
      </w:divBdr>
    </w:div>
    <w:div w:id="1280063595">
      <w:bodyDiv w:val="1"/>
      <w:marLeft w:val="0"/>
      <w:marRight w:val="0"/>
      <w:marTop w:val="0"/>
      <w:marBottom w:val="0"/>
      <w:divBdr>
        <w:top w:val="none" w:sz="0" w:space="0" w:color="auto"/>
        <w:left w:val="none" w:sz="0" w:space="0" w:color="auto"/>
        <w:bottom w:val="none" w:sz="0" w:space="0" w:color="auto"/>
        <w:right w:val="none" w:sz="0" w:space="0" w:color="auto"/>
      </w:divBdr>
    </w:div>
    <w:div w:id="1592468083">
      <w:bodyDiv w:val="1"/>
      <w:marLeft w:val="0"/>
      <w:marRight w:val="0"/>
      <w:marTop w:val="0"/>
      <w:marBottom w:val="0"/>
      <w:divBdr>
        <w:top w:val="none" w:sz="0" w:space="0" w:color="auto"/>
        <w:left w:val="none" w:sz="0" w:space="0" w:color="auto"/>
        <w:bottom w:val="none" w:sz="0" w:space="0" w:color="auto"/>
        <w:right w:val="none" w:sz="0" w:space="0" w:color="auto"/>
      </w:divBdr>
    </w:div>
    <w:div w:id="1878085092">
      <w:bodyDiv w:val="1"/>
      <w:marLeft w:val="0"/>
      <w:marRight w:val="0"/>
      <w:marTop w:val="0"/>
      <w:marBottom w:val="0"/>
      <w:divBdr>
        <w:top w:val="none" w:sz="0" w:space="0" w:color="auto"/>
        <w:left w:val="none" w:sz="0" w:space="0" w:color="auto"/>
        <w:bottom w:val="none" w:sz="0" w:space="0" w:color="auto"/>
        <w:right w:val="none" w:sz="0" w:space="0" w:color="auto"/>
      </w:divBdr>
    </w:div>
    <w:div w:id="1977442863">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hyperlink" Target="https://www.anaf.ro/anaf/internet/ANAF/asistenta_contribuabili/toate_formularele_cu_explicatii/" TargetMode="External"/><Relationship Id="rId47" Type="http://schemas.openxmlformats.org/officeDocument/2006/relationships/hyperlink" Target="https://www.anaf.ro/anaf/internet/ANAF/asistenta_contribuabili/toate_formularele_cu_explicatii/" TargetMode="Externa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asistenta_contribuabili/toate_formularele_cu_explic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45"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20/Anaf/Calendar_obligatii_fiscale_2019.htm"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49" Type="http://schemas.openxmlformats.org/officeDocument/2006/relationships/theme" Target="theme/theme1.xml"/><Relationship Id="rId10" Type="http://schemas.openxmlformats.org/officeDocument/2006/relationships/hyperlink" Target="https://www.anaf.ro/anaf/internet/ANAF/servicii_online/declaratii_electronice/descarcare_declar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4"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hyperlink" Target="https://www.anaf.ro/anaf/internet/ANAF/asistenta_contribuabili/toate_formularele_cu_explicatii/" TargetMode="External"/><Relationship Id="rId48" Type="http://schemas.openxmlformats.org/officeDocument/2006/relationships/fontTable" Target="fontTable.xml"/><Relationship Id="rId8" Type="http://schemas.openxmlformats.org/officeDocument/2006/relationships/hyperlink" Target="https://www.anaf.ro/anaf/internet/ANAF/servicii_online/declaratii_electronice/descarcare_declaratii" TargetMode="External"/><Relationship Id="rId3" Type="http://schemas.openxmlformats.org/officeDocument/2006/relationships/settings" Target="settings.xml"/><Relationship Id="rId12" Type="http://schemas.openxmlformats.org/officeDocument/2006/relationships/hyperlink" Target="https://www.anaf.ro/anaf/internet/ANAF/servicii_online/declaratii_electronice/descarcare_declar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 Id="rId4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13</cp:revision>
  <dcterms:created xsi:type="dcterms:W3CDTF">2018-05-31T10:43:00Z</dcterms:created>
  <dcterms:modified xsi:type="dcterms:W3CDTF">2019-02-05T10:24:00Z</dcterms:modified>
</cp:coreProperties>
</file>