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F2" w:rsidRPr="00B407F2" w:rsidRDefault="00B407F2" w:rsidP="00B407F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bunurilor</w:t>
      </w:r>
      <w:proofErr w:type="spellEnd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nu se face </w:t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plata</w:t>
      </w:r>
      <w:proofErr w:type="spellEnd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efectivă</w:t>
      </w:r>
      <w:proofErr w:type="spellEnd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TVA la </w:t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organele</w:t>
      </w:r>
      <w:proofErr w:type="spellEnd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07F2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vamale</w:t>
      </w:r>
      <w:proofErr w:type="spellEnd"/>
    </w:p>
    <w:p w:rsidR="00B407F2" w:rsidRDefault="00B407F2" w:rsidP="00B407F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B407F2" w:rsidRPr="00B407F2" w:rsidRDefault="00B407F2" w:rsidP="00B40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09"/>
        <w:gridCol w:w="2301"/>
        <w:gridCol w:w="2209"/>
      </w:tblGrid>
      <w:tr w:rsidR="00B407F2" w:rsidRPr="00B407F2" w:rsidTr="00B40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Categoria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Numele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Scurtă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descriere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Clasificare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tarifară</w:t>
            </w:r>
            <w:proofErr w:type="spellEnd"/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Kituri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COVID-19/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Instrumente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diagnostic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Kituri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Reactivi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diagnosticare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reacție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polimerază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lanț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(PCR) cu acid nucleic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3822,00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Kituri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Reactivi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diagnosticare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reacții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imunologice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3002,15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Instrumente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testarea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diagnosticului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Instrumente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laboratoarele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clinice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diagnosticul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in vitro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9027,80</w:t>
            </w:r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Veșminte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similare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față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ochi</w:t>
            </w:r>
            <w:proofErr w:type="spellEnd"/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Mască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față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textilă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fără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filtru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înlocuibil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părți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mecanice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incluzând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măști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chirurgicale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măști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față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confecționate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materiale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textile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nețesute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6307,90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Măști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gaz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piese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mecanice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filtre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înlocuibile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împotriva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agenților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biologici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. Include,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asemenea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măști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care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încorporează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ochi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scuturi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faciale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9020,00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Ochelari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9004,90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Scuturi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plastic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față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acoperind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mult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decât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zona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ochilor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3926,20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plastic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3926,20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chirurgicale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cauciuc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4015,11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cauciuc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4015,19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tricotate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croșetate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care au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fost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impregnate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materiale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plastice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cauciuc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6116,10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Mănuși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material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textil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care nu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tricotate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croșetate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6216,00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Plase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păr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unică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folosință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6505,00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uz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chirurgical/medical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pâslă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nețesute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impregnate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nu,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laminate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țesături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la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pozițiile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56.02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56.03).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Aceasta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include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articole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lipite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6210,10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articole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materiale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textile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țesături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țesături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care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impregnate,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țesături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laminate (de la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pozițiile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59.03, 59.06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59.07)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Clasificarea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finală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depinde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tipul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dacă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bărbați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femei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Exemplu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: unisex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fi un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costum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complet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țesut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impregnat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materiale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plastice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clasificat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la 6210</w:t>
            </w:r>
            <w:proofErr w:type="gram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,50</w:t>
            </w:r>
            <w:proofErr w:type="gram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-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femei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fete.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6210,20 6210,30 6210,40 6210,50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Îmbrăcăminte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folie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plastic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3926,20</w:t>
            </w:r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III.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lichid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citire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directă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Include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clinic standard „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Mercur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sticlă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“.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9025,11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exemplu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digitale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infraroșu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amplasare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frunte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9025,19</w:t>
            </w:r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IV.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/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sterilizare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Soluție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Nedenaturat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care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conține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volum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80%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mult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etilic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2207,10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Soluție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Nedenaturat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etilic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2208,90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mâini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Un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lichid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gel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folosit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general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reduce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agenții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infecțioși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mâini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de tip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3808,94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Prezentate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ambalaje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vânzare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amănuntul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cum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fi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soluțiile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fricționare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șervețelele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impregnate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3808,94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Sterilizatoare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chirurgicale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laborator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Funcționează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abur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clocotită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8419,20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vrac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H_2O_2,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indiferent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dacă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este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nu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solidificată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2847,00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prezentată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 un medicament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H_2O_2,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uz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intern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extern ca medicament,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inclusiv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 antiseptic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piele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. Se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regăsește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aici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numai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dacă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este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doze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măsurate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sub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formă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ambalaje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vânzare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amănuntul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o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astfel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inclusiv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spitale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3004,90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pusă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preparați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curățarea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suprafețelor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H_2O_2 ca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soluție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curățare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suprafețe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3808,94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substanțe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chimice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Prezentate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forme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ambalaje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vânzare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amănuntul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preparați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care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lastRenderedPageBreak/>
              <w:t>conțin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soluție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clorură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benzalconiu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peroxiacizi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dezinfectanți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lastRenderedPageBreak/>
              <w:t>3808,94</w:t>
            </w:r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V.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dispozitive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Scaner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computerizat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tomograf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(CT)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Utilizează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o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mașină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rotativă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raze X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scana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felii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subțiri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ale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corpului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uman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diagnosticarea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bolilor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precum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pneumonia.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9022,12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membrană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extracorporală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(ECMO)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Oferă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suport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cardiac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respirator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prelungit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prin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eliminarea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sângelui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din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corpul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persoanei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mod artificial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eliminarea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dioxidului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carbon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globulelor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roșii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Consola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ECMO/ECLS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membranei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extracorporale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/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Sistem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extracorporal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susținere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vieții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Ventilatoare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respirație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artificială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Asigură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ventilație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mecanică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prin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mutarea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aerului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respirabil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afară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plămânilor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9019,20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oxigenoterapie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inclusiv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corturi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lângă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complete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oxigenoterapie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această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subpoziție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asemenea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părți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recunoscute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ale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lastRenderedPageBreak/>
              <w:t>unor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astfel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sisteme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lastRenderedPageBreak/>
              <w:t>9019,20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Dispozitive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monitorizare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pacienților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-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Aparate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electrodiagnostic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Echipamente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electrice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electronice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observarea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unei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boli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afecțiuni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unuia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multor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parametri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medicali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timp.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Aceasta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include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dispozitive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cum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fi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oximetrele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stațiile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monitorizare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nopții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utilizate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monitorizarea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continuă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diverselor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semne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vitale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. [NOTĂ: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Aceasta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nu include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dispozitivele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parte,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exemplu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electrocardiografele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(9018.11)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termometre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electronice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(9025.19).]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9018,19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Ecografe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9018,12</w:t>
            </w:r>
          </w:p>
        </w:tc>
      </w:tr>
      <w:tr w:rsidR="00B407F2" w:rsidRPr="00B407F2" w:rsidTr="00B407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VI.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Consumabile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Vată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tifon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bandaje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bețișoare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bumbac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articole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similare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Impregnate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acoperite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substanțe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farmaceutice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prezentate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forme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ambalaje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vânzare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amănuntul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uz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medical.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3005,90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Seringi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cu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fără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9018,31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Ace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metalice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tubulare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ace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pentru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suturi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9018,32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Ace,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catetere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canule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altele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asemenea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9018,39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Truse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intubare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9018,90</w:t>
            </w:r>
          </w:p>
        </w:tc>
      </w:tr>
      <w:tr w:rsidR="00B407F2" w:rsidRPr="00B407F2" w:rsidTr="00B407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Cearceafuri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hârtie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4818,90</w:t>
            </w:r>
          </w:p>
        </w:tc>
      </w:tr>
      <w:tr w:rsidR="00B407F2" w:rsidRPr="00B407F2" w:rsidTr="00B40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VII.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Medicamente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Paracetamol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Hidroxiclorochină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Lopinavir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/Ritonavir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Remdesivir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Tocilizumab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29242970 29334990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Hidroxiclorochină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derivat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4-aminochinolină) 2933499, 30036000, 30046000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funcție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condiționare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) 29335995 29349990 30021300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Tocilizumab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anticorp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monoclonal) 30021300, 30021400, 30021500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funcție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condiționare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), </w:t>
            </w:r>
            <w:proofErr w:type="spellStart"/>
            <w:proofErr w:type="gram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Produsele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:</w:t>
            </w:r>
            <w:proofErr w:type="gram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Paracetamol,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Hidroxiclorochină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Lopinavir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/Ritonavir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inhibitori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protează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),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Remdesivir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se pot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clasifica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dacă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sunt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condiționate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ca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medicamente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(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în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doze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nu)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și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la 30039000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sau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30049000.</w:t>
            </w:r>
          </w:p>
        </w:tc>
      </w:tr>
      <w:tr w:rsidR="00B407F2" w:rsidRPr="00B407F2" w:rsidTr="00B40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VIII.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Alcool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etilic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complet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denaturat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2207 20 00</w:t>
            </w:r>
          </w:p>
        </w:tc>
      </w:tr>
      <w:tr w:rsidR="00B407F2" w:rsidRPr="00B407F2" w:rsidTr="00B40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IX.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Mașini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producție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măști</w:t>
            </w:r>
            <w:proofErr w:type="spellEnd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de </w:t>
            </w:r>
            <w:proofErr w:type="spellStart"/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protecție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407F2" w:rsidRPr="00B407F2" w:rsidRDefault="00B407F2" w:rsidP="00B407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B407F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</w:rPr>
              <w:t>8479 50 00</w:t>
            </w:r>
          </w:p>
        </w:tc>
      </w:tr>
    </w:tbl>
    <w:p w:rsidR="00F97AE1" w:rsidRPr="00B407F2" w:rsidRDefault="00F97AE1" w:rsidP="00B407F2"/>
    <w:sectPr w:rsidR="00F97AE1" w:rsidRPr="00B40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47"/>
    <w:rsid w:val="0095385E"/>
    <w:rsid w:val="00A960F3"/>
    <w:rsid w:val="00B407F2"/>
    <w:rsid w:val="00DF3278"/>
    <w:rsid w:val="00F75847"/>
    <w:rsid w:val="00F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8F6B"/>
  <w15:chartTrackingRefBased/>
  <w15:docId w15:val="{CF3093FA-A2FE-4FB6-B767-86FA86A8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DF3278"/>
  </w:style>
  <w:style w:type="character" w:customStyle="1" w:styleId="spar">
    <w:name w:val="s_par"/>
    <w:basedOn w:val="DefaultParagraphFont"/>
    <w:rsid w:val="00DF3278"/>
  </w:style>
  <w:style w:type="character" w:styleId="Hyperlink">
    <w:name w:val="Hyperlink"/>
    <w:basedOn w:val="DefaultParagraphFont"/>
    <w:uiPriority w:val="99"/>
    <w:semiHidden/>
    <w:unhideWhenUsed/>
    <w:rsid w:val="00DF3278"/>
    <w:rPr>
      <w:color w:val="0000FF"/>
      <w:u w:val="single"/>
    </w:rPr>
  </w:style>
  <w:style w:type="character" w:customStyle="1" w:styleId="slinttl">
    <w:name w:val="s_lin_ttl"/>
    <w:basedOn w:val="DefaultParagraphFont"/>
    <w:rsid w:val="00DF3278"/>
  </w:style>
  <w:style w:type="character" w:customStyle="1" w:styleId="slinbdy">
    <w:name w:val="s_lin_bdy"/>
    <w:basedOn w:val="DefaultParagraphFont"/>
    <w:rsid w:val="00DF3278"/>
  </w:style>
  <w:style w:type="character" w:customStyle="1" w:styleId="slgi">
    <w:name w:val="s_lgi"/>
    <w:basedOn w:val="DefaultParagraphFont"/>
    <w:rsid w:val="00DF3278"/>
  </w:style>
  <w:style w:type="character" w:customStyle="1" w:styleId="sanxttl">
    <w:name w:val="s_anx_ttl"/>
    <w:basedOn w:val="DefaultParagraphFont"/>
    <w:rsid w:val="00DF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971</Words>
  <Characters>5540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5</cp:revision>
  <dcterms:created xsi:type="dcterms:W3CDTF">2020-04-01T10:13:00Z</dcterms:created>
  <dcterms:modified xsi:type="dcterms:W3CDTF">2020-04-23T09:43:00Z</dcterms:modified>
</cp:coreProperties>
</file>