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5CC" w:rsidRDefault="004105CC">
      <w:r>
        <w:rPr>
          <w:noProof/>
        </w:rPr>
        <w:drawing>
          <wp:anchor distT="0" distB="0" distL="114300" distR="114300" simplePos="0" relativeHeight="251658240" behindDoc="0" locked="0" layoutInCell="1" allowOverlap="0">
            <wp:simplePos x="0" y="0"/>
            <wp:positionH relativeFrom="column">
              <wp:posOffset>-204470</wp:posOffset>
            </wp:positionH>
            <wp:positionV relativeFrom="margin">
              <wp:align>top</wp:align>
            </wp:positionV>
            <wp:extent cx="901700" cy="900430"/>
            <wp:effectExtent l="19050" t="0" r="0" b="0"/>
            <wp:wrapThrough wrapText="bothSides">
              <wp:wrapPolygon edited="0">
                <wp:start x="6845" y="0"/>
                <wp:lineTo x="4107" y="1371"/>
                <wp:lineTo x="-456" y="5941"/>
                <wp:lineTo x="-456" y="15994"/>
                <wp:lineTo x="5476" y="21021"/>
                <wp:lineTo x="6845" y="21021"/>
                <wp:lineTo x="14603" y="21021"/>
                <wp:lineTo x="15972" y="21021"/>
                <wp:lineTo x="21448" y="15994"/>
                <wp:lineTo x="21448" y="5484"/>
                <wp:lineTo x="17341" y="1371"/>
                <wp:lineTo x="14603" y="0"/>
                <wp:lineTo x="684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_guv_coroana_albastr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900430"/>
                    </a:xfrm>
                    <a:prstGeom prst="rect">
                      <a:avLst/>
                    </a:prstGeom>
                  </pic:spPr>
                </pic:pic>
              </a:graphicData>
            </a:graphic>
          </wp:anchor>
        </w:drawing>
      </w:r>
    </w:p>
    <w:p w:rsidR="004105CC" w:rsidRPr="00CB2AAA" w:rsidRDefault="004105CC" w:rsidP="004105CC">
      <w:pPr>
        <w:rPr>
          <w:rFonts w:ascii="Trajan Pro" w:hAnsi="Trajan Pro"/>
          <w:b/>
          <w:sz w:val="28"/>
          <w:szCs w:val="28"/>
        </w:rPr>
      </w:pPr>
      <w:r w:rsidRPr="00CB2AAA">
        <w:rPr>
          <w:rFonts w:ascii="Trajan Pro" w:hAnsi="Trajan Pro"/>
          <w:b/>
          <w:sz w:val="28"/>
          <w:szCs w:val="28"/>
        </w:rPr>
        <w:t>MINISTERUL FINANȚELOR</w:t>
      </w:r>
    </w:p>
    <w:p w:rsidR="004105CC" w:rsidRPr="00CB2AAA" w:rsidRDefault="00AC407A" w:rsidP="004105CC">
      <w:pPr>
        <w:rPr>
          <w:rFonts w:ascii="Trebuchet MS" w:hAnsi="Trebuchet MS"/>
          <w:sz w:val="24"/>
          <w:szCs w:val="24"/>
        </w:rPr>
      </w:pPr>
      <w:r>
        <w:rPr>
          <w:rFonts w:ascii="Trebuchet MS" w:hAnsi="Trebuchet MS"/>
          <w:sz w:val="24"/>
          <w:szCs w:val="24"/>
        </w:rPr>
        <w:t>Serviciul</w:t>
      </w:r>
      <w:r w:rsidR="00043E06">
        <w:rPr>
          <w:rFonts w:ascii="Trebuchet MS" w:hAnsi="Trebuchet MS"/>
          <w:sz w:val="24"/>
          <w:szCs w:val="24"/>
        </w:rPr>
        <w:t xml:space="preserve"> de </w:t>
      </w:r>
      <w:r>
        <w:rPr>
          <w:rFonts w:ascii="Trebuchet MS" w:hAnsi="Trebuchet MS"/>
          <w:sz w:val="24"/>
          <w:szCs w:val="24"/>
        </w:rPr>
        <w:t>Comunicare, Relații</w:t>
      </w:r>
      <w:r w:rsidR="00043E06">
        <w:rPr>
          <w:rFonts w:ascii="Trebuchet MS" w:hAnsi="Trebuchet MS"/>
          <w:sz w:val="24"/>
          <w:szCs w:val="24"/>
        </w:rPr>
        <w:t xml:space="preserve"> </w:t>
      </w:r>
      <w:r>
        <w:rPr>
          <w:rFonts w:ascii="Trebuchet MS" w:hAnsi="Trebuchet MS"/>
          <w:sz w:val="24"/>
          <w:szCs w:val="24"/>
        </w:rPr>
        <w:t>Publice, Mass Media și</w:t>
      </w:r>
      <w:r w:rsidR="00043E06">
        <w:rPr>
          <w:rFonts w:ascii="Trebuchet MS" w:hAnsi="Trebuchet MS"/>
          <w:sz w:val="24"/>
          <w:szCs w:val="24"/>
        </w:rPr>
        <w:t xml:space="preserve"> </w:t>
      </w:r>
      <w:r>
        <w:rPr>
          <w:rFonts w:ascii="Trebuchet MS" w:hAnsi="Trebuchet MS"/>
          <w:sz w:val="24"/>
          <w:szCs w:val="24"/>
        </w:rPr>
        <w:t>Transparență</w:t>
      </w:r>
    </w:p>
    <w:p w:rsidR="00043E06" w:rsidRDefault="00043E06" w:rsidP="00043E06">
      <w:pPr>
        <w:rPr>
          <w:rFonts w:ascii="Trebuchet MS" w:hAnsi="Trebuchet MS"/>
          <w:b/>
          <w:bCs/>
          <w:sz w:val="24"/>
          <w:szCs w:val="24"/>
          <w:lang w:val="ro-RO"/>
        </w:rPr>
      </w:pPr>
    </w:p>
    <w:p w:rsidR="00A564E9" w:rsidRDefault="00A564E9" w:rsidP="00043E06">
      <w:pPr>
        <w:rPr>
          <w:rFonts w:ascii="Trebuchet MS" w:hAnsi="Trebuchet MS"/>
          <w:b/>
          <w:bCs/>
          <w:sz w:val="24"/>
          <w:szCs w:val="24"/>
          <w:lang w:val="ro-RO"/>
        </w:rPr>
      </w:pPr>
    </w:p>
    <w:p w:rsidR="00D13BEE" w:rsidRPr="006734EA" w:rsidRDefault="002F5E16" w:rsidP="004105CC">
      <w:pPr>
        <w:rPr>
          <w:rFonts w:ascii="Trebuchet MS" w:hAnsi="Trebuchet MS"/>
          <w:b/>
          <w:bCs/>
          <w:sz w:val="24"/>
          <w:szCs w:val="24"/>
          <w:lang w:val="ro-RO"/>
        </w:rPr>
      </w:pPr>
      <w:r w:rsidRPr="006734EA">
        <w:rPr>
          <w:rFonts w:ascii="Trebuchet MS" w:hAnsi="Trebuchet MS"/>
          <w:b/>
          <w:bCs/>
          <w:sz w:val="24"/>
          <w:szCs w:val="24"/>
          <w:lang w:val="ro-RO"/>
        </w:rPr>
        <w:t>Do</w:t>
      </w:r>
      <w:r w:rsidR="00ED0E9D" w:rsidRPr="006734EA">
        <w:rPr>
          <w:rFonts w:ascii="Trebuchet MS" w:hAnsi="Trebuchet MS"/>
          <w:b/>
          <w:bCs/>
          <w:sz w:val="24"/>
          <w:szCs w:val="24"/>
          <w:lang w:val="ro-RO"/>
        </w:rPr>
        <w:t>a</w:t>
      </w:r>
      <w:r w:rsidRPr="006734EA">
        <w:rPr>
          <w:rFonts w:ascii="Trebuchet MS" w:hAnsi="Trebuchet MS"/>
          <w:b/>
          <w:bCs/>
          <w:sz w:val="24"/>
          <w:szCs w:val="24"/>
          <w:lang w:val="ro-RO"/>
        </w:rPr>
        <w:t>mn</w:t>
      </w:r>
      <w:r w:rsidR="00ED0E9D" w:rsidRPr="006734EA">
        <w:rPr>
          <w:rFonts w:ascii="Trebuchet MS" w:hAnsi="Trebuchet MS"/>
          <w:b/>
          <w:bCs/>
          <w:sz w:val="24"/>
          <w:szCs w:val="24"/>
          <w:lang w:val="ro-RO"/>
        </w:rPr>
        <w:t>e</w:t>
      </w:r>
      <w:r w:rsidRPr="006734EA">
        <w:rPr>
          <w:rFonts w:ascii="Trebuchet MS" w:hAnsi="Trebuchet MS"/>
          <w:b/>
          <w:bCs/>
          <w:sz w:val="24"/>
          <w:szCs w:val="24"/>
          <w:lang w:val="ro-RO"/>
        </w:rPr>
        <w:t xml:space="preserve">i </w:t>
      </w:r>
      <w:r w:rsidR="00B24AA3" w:rsidRPr="006734EA">
        <w:rPr>
          <w:rFonts w:ascii="Trebuchet MS" w:hAnsi="Trebuchet MS"/>
          <w:b/>
          <w:bCs/>
          <w:sz w:val="24"/>
          <w:szCs w:val="24"/>
          <w:lang w:val="ro-RO"/>
        </w:rPr>
        <w:t>Roxanei Neagu</w:t>
      </w:r>
    </w:p>
    <w:p w:rsidR="002F5E16" w:rsidRPr="006734EA" w:rsidRDefault="004402FD" w:rsidP="00EF6046">
      <w:pPr>
        <w:jc w:val="both"/>
        <w:rPr>
          <w:rFonts w:ascii="Trebuchet MS" w:hAnsi="Trebuchet MS"/>
          <w:b/>
          <w:sz w:val="24"/>
          <w:szCs w:val="24"/>
        </w:rPr>
      </w:pPr>
      <w:r w:rsidRPr="006734EA">
        <w:rPr>
          <w:rFonts w:ascii="Trebuchet MS" w:hAnsi="Trebuchet MS"/>
          <w:b/>
          <w:sz w:val="24"/>
          <w:szCs w:val="24"/>
        </w:rPr>
        <w:t xml:space="preserve">Jurnalist </w:t>
      </w:r>
      <w:r w:rsidR="00B24AA3" w:rsidRPr="006734EA">
        <w:rPr>
          <w:rFonts w:ascii="Trebuchet MS" w:hAnsi="Trebuchet MS"/>
          <w:b/>
          <w:sz w:val="24"/>
          <w:szCs w:val="24"/>
        </w:rPr>
        <w:t>”</w:t>
      </w:r>
      <w:r w:rsidR="007D4BE7" w:rsidRPr="006734EA">
        <w:rPr>
          <w:rFonts w:ascii="Trebuchet MS" w:hAnsi="Trebuchet MS"/>
          <w:b/>
          <w:sz w:val="24"/>
          <w:szCs w:val="24"/>
        </w:rPr>
        <w:t>Avocat</w:t>
      </w:r>
      <w:r w:rsidR="00233B40" w:rsidRPr="006734EA">
        <w:rPr>
          <w:rFonts w:ascii="Trebuchet MS" w:hAnsi="Trebuchet MS"/>
          <w:b/>
          <w:sz w:val="24"/>
          <w:szCs w:val="24"/>
        </w:rPr>
        <w:t>net</w:t>
      </w:r>
      <w:r w:rsidRPr="006734EA">
        <w:rPr>
          <w:rFonts w:ascii="Trebuchet MS" w:hAnsi="Trebuchet MS"/>
          <w:b/>
          <w:sz w:val="24"/>
          <w:szCs w:val="24"/>
        </w:rPr>
        <w:t>.ro</w:t>
      </w:r>
      <w:r w:rsidR="00B24AA3" w:rsidRPr="006734EA">
        <w:rPr>
          <w:rFonts w:ascii="Trebuchet MS" w:hAnsi="Trebuchet MS"/>
          <w:b/>
          <w:sz w:val="24"/>
          <w:szCs w:val="24"/>
        </w:rPr>
        <w:t>”</w:t>
      </w:r>
    </w:p>
    <w:p w:rsidR="00F364BB" w:rsidRPr="006734EA" w:rsidRDefault="002F5E16" w:rsidP="00EF6046">
      <w:pPr>
        <w:jc w:val="both"/>
        <w:rPr>
          <w:rFonts w:ascii="Trebuchet MS" w:hAnsi="Trebuchet MS"/>
          <w:b/>
          <w:sz w:val="24"/>
          <w:szCs w:val="24"/>
        </w:rPr>
      </w:pPr>
      <w:r w:rsidRPr="006734EA">
        <w:rPr>
          <w:rFonts w:ascii="Trebuchet MS" w:hAnsi="Trebuchet MS"/>
          <w:b/>
          <w:sz w:val="24"/>
          <w:szCs w:val="24"/>
        </w:rPr>
        <w:t xml:space="preserve"> </w:t>
      </w:r>
    </w:p>
    <w:p w:rsidR="006734EA" w:rsidRPr="006734EA" w:rsidRDefault="00922741" w:rsidP="006734EA">
      <w:pPr>
        <w:autoSpaceDE w:val="0"/>
        <w:autoSpaceDN w:val="0"/>
        <w:adjustRightInd w:val="0"/>
        <w:jc w:val="both"/>
        <w:rPr>
          <w:rFonts w:ascii="Trebuchet MS" w:hAnsi="Trebuchet MS" w:cs="Arial"/>
          <w:bCs/>
          <w:noProof/>
          <w:sz w:val="24"/>
          <w:szCs w:val="24"/>
          <w:lang w:val="ro-RO"/>
        </w:rPr>
      </w:pPr>
      <w:r w:rsidRPr="006734EA">
        <w:rPr>
          <w:rFonts w:ascii="Trebuchet MS" w:hAnsi="Trebuchet MS" w:cs="Arial"/>
          <w:bCs/>
          <w:sz w:val="24"/>
          <w:szCs w:val="24"/>
          <w:lang w:val="fr-FR"/>
        </w:rPr>
        <w:t xml:space="preserve">Referitor la </w:t>
      </w:r>
      <w:r w:rsidR="00715B66" w:rsidRPr="006734EA">
        <w:rPr>
          <w:rFonts w:ascii="Trebuchet MS" w:hAnsi="Trebuchet MS" w:cs="Arial"/>
          <w:bCs/>
          <w:sz w:val="24"/>
          <w:szCs w:val="24"/>
          <w:lang w:val="fr-FR"/>
        </w:rPr>
        <w:t>solicitarea</w:t>
      </w:r>
      <w:r w:rsidRPr="006734EA">
        <w:rPr>
          <w:rFonts w:ascii="Trebuchet MS" w:hAnsi="Trebuchet MS" w:cs="Arial"/>
          <w:bCs/>
          <w:sz w:val="24"/>
          <w:szCs w:val="24"/>
          <w:lang w:val="fr-FR"/>
        </w:rPr>
        <w:t xml:space="preserve"> dumneavoastră</w:t>
      </w:r>
      <w:r w:rsidR="004402FD" w:rsidRPr="006734EA">
        <w:rPr>
          <w:rFonts w:ascii="Trebuchet MS" w:hAnsi="Trebuchet MS" w:cs="Arial"/>
          <w:bCs/>
          <w:sz w:val="24"/>
          <w:szCs w:val="24"/>
          <w:lang w:val="ro-RO"/>
        </w:rPr>
        <w:t>,</w:t>
      </w:r>
      <w:r w:rsidR="007D4BE7" w:rsidRPr="006734EA">
        <w:rPr>
          <w:rFonts w:ascii="Trebuchet MS" w:hAnsi="Trebuchet MS" w:cs="Arial"/>
          <w:color w:val="000000"/>
          <w:sz w:val="24"/>
          <w:szCs w:val="24"/>
          <w:lang w:val="ro-RO"/>
        </w:rPr>
        <w:t xml:space="preserve"> </w:t>
      </w:r>
      <w:r w:rsidR="004C2CA8">
        <w:rPr>
          <w:rFonts w:ascii="Trebuchet MS" w:hAnsi="Trebuchet MS" w:cs="Arial"/>
          <w:bCs/>
          <w:noProof/>
          <w:sz w:val="24"/>
          <w:szCs w:val="24"/>
          <w:lang w:val="ro-RO"/>
        </w:rPr>
        <w:t>prin care solicitați</w:t>
      </w:r>
      <w:r w:rsidR="006734EA" w:rsidRPr="006734EA">
        <w:rPr>
          <w:rFonts w:ascii="Trebuchet MS" w:hAnsi="Trebuchet MS" w:cs="Arial"/>
          <w:bCs/>
          <w:noProof/>
          <w:sz w:val="24"/>
          <w:szCs w:val="24"/>
          <w:lang w:val="ro-RO"/>
        </w:rPr>
        <w:t xml:space="preserve"> clarificări cu privire la înțelesul sintagmei ”contravaloarea hranei acordate de angajator”, cât și referitor la acordarea, distinct, a sumelor cu destinația masă/hrană, pentru salariații detașați transnațional sau pentru salariații care beneficiază de clauza de mobilitate, în contextul prevederilor art. 76 alin. (4^1) lit. b) din Legea nr. 227/2015 privind Codul fiscal, cu modificările și completările ulterioare, facem următoarele precizări:</w:t>
      </w:r>
    </w:p>
    <w:p w:rsidR="006734EA" w:rsidRPr="006734EA" w:rsidRDefault="006734EA" w:rsidP="006734EA">
      <w:pPr>
        <w:autoSpaceDE w:val="0"/>
        <w:autoSpaceDN w:val="0"/>
        <w:adjustRightInd w:val="0"/>
        <w:jc w:val="both"/>
        <w:rPr>
          <w:rFonts w:ascii="Trebuchet MS" w:hAnsi="Trebuchet MS" w:cs="Arial"/>
          <w:bCs/>
          <w:noProof/>
          <w:sz w:val="24"/>
          <w:szCs w:val="24"/>
          <w:lang w:val="ro-RO"/>
        </w:rPr>
      </w:pPr>
      <w:r w:rsidRPr="006734EA">
        <w:rPr>
          <w:rFonts w:ascii="Trebuchet MS" w:hAnsi="Trebuchet MS" w:cs="Arial"/>
          <w:bCs/>
          <w:noProof/>
          <w:sz w:val="24"/>
          <w:szCs w:val="24"/>
          <w:lang w:val="ro-RO"/>
        </w:rPr>
        <w:t>Cu titlu general menționăm că în aplicarea și interpretarea normelor legale la care se face referire, este necesar să fie avute în vedere prevederile art. 13 din Legea nr. 207/2015 privind Codul de procedură fiscală cu modificările și completările ulterioare, respectiv:</w:t>
      </w:r>
    </w:p>
    <w:p w:rsidR="006734EA" w:rsidRPr="006734EA" w:rsidRDefault="006734EA" w:rsidP="006734EA">
      <w:pPr>
        <w:autoSpaceDE w:val="0"/>
        <w:autoSpaceDN w:val="0"/>
        <w:adjustRightInd w:val="0"/>
        <w:ind w:leftChars="-12" w:left="-26" w:firstLine="30"/>
        <w:jc w:val="both"/>
        <w:rPr>
          <w:rFonts w:ascii="Trebuchet MS" w:hAnsi="Trebuchet MS"/>
          <w:bCs/>
          <w:i/>
          <w:iCs/>
          <w:noProof/>
          <w:sz w:val="24"/>
          <w:szCs w:val="24"/>
          <w:lang w:val="ro-RO"/>
        </w:rPr>
      </w:pPr>
      <w:r w:rsidRPr="006734EA">
        <w:rPr>
          <w:rFonts w:ascii="Trebuchet MS" w:hAnsi="Trebuchet MS"/>
          <w:bCs/>
          <w:i/>
          <w:iCs/>
          <w:noProof/>
          <w:sz w:val="24"/>
          <w:szCs w:val="24"/>
          <w:lang w:val="ro-RO"/>
        </w:rPr>
        <w:t>”Art. 13 Interpretarea legii</w:t>
      </w:r>
    </w:p>
    <w:p w:rsidR="006734EA" w:rsidRPr="006734EA" w:rsidRDefault="006734EA" w:rsidP="006734EA">
      <w:pPr>
        <w:autoSpaceDE w:val="0"/>
        <w:autoSpaceDN w:val="0"/>
        <w:adjustRightInd w:val="0"/>
        <w:jc w:val="both"/>
        <w:rPr>
          <w:rFonts w:ascii="Trebuchet MS" w:hAnsi="Trebuchet MS"/>
          <w:bCs/>
          <w:i/>
          <w:iCs/>
          <w:noProof/>
          <w:sz w:val="24"/>
          <w:szCs w:val="24"/>
          <w:lang w:val="ro-RO"/>
        </w:rPr>
      </w:pPr>
      <w:r w:rsidRPr="006734EA">
        <w:rPr>
          <w:rFonts w:ascii="Trebuchet MS" w:hAnsi="Trebuchet MS"/>
          <w:bCs/>
          <w:i/>
          <w:iCs/>
          <w:noProof/>
          <w:sz w:val="24"/>
          <w:szCs w:val="24"/>
          <w:lang w:val="ro-RO"/>
        </w:rPr>
        <w:t>(1) Interpretarea reglementărilor fiscale trebuie să respecte voința legiuitorului așa cum este exprimată în lege.</w:t>
      </w:r>
    </w:p>
    <w:p w:rsidR="006734EA" w:rsidRPr="006734EA" w:rsidRDefault="00687698" w:rsidP="006734EA">
      <w:pPr>
        <w:autoSpaceDE w:val="0"/>
        <w:autoSpaceDN w:val="0"/>
        <w:adjustRightInd w:val="0"/>
        <w:ind w:hanging="89"/>
        <w:jc w:val="both"/>
        <w:rPr>
          <w:rFonts w:ascii="Trebuchet MS" w:hAnsi="Trebuchet MS"/>
          <w:bCs/>
          <w:i/>
          <w:iCs/>
          <w:noProof/>
          <w:sz w:val="24"/>
          <w:szCs w:val="24"/>
          <w:lang w:val="ro-RO"/>
        </w:rPr>
      </w:pPr>
      <w:r>
        <w:rPr>
          <w:rFonts w:ascii="Trebuchet MS" w:hAnsi="Trebuchet MS"/>
          <w:bCs/>
          <w:i/>
          <w:iCs/>
          <w:noProof/>
          <w:sz w:val="24"/>
          <w:szCs w:val="24"/>
          <w:lang w:val="ro-RO"/>
        </w:rPr>
        <w:t xml:space="preserve"> (2) Î</w:t>
      </w:r>
      <w:r w:rsidR="006734EA" w:rsidRPr="006734EA">
        <w:rPr>
          <w:rFonts w:ascii="Trebuchet MS" w:hAnsi="Trebuchet MS"/>
          <w:bCs/>
          <w:i/>
          <w:iCs/>
          <w:noProof/>
          <w:sz w:val="24"/>
          <w:szCs w:val="24"/>
          <w:lang w:val="ro-RO"/>
        </w:rPr>
        <w:t>n cazul în care voința legiuitorului nu reiese clar din textul legii, la stabilirea voinței legiuitorului se ține seama de scopul emiterii actului normativ astfel cum acesta reiese din documentele publice ce însoțesc actul normativ în procesul de elaborare, dezbatere și aprobare.</w:t>
      </w:r>
    </w:p>
    <w:p w:rsidR="006734EA" w:rsidRPr="006734EA" w:rsidRDefault="006734EA" w:rsidP="006734EA">
      <w:pPr>
        <w:autoSpaceDE w:val="0"/>
        <w:autoSpaceDN w:val="0"/>
        <w:adjustRightInd w:val="0"/>
        <w:jc w:val="both"/>
        <w:rPr>
          <w:rFonts w:ascii="Trebuchet MS" w:hAnsi="Trebuchet MS"/>
          <w:bCs/>
          <w:i/>
          <w:iCs/>
          <w:noProof/>
          <w:sz w:val="24"/>
          <w:szCs w:val="24"/>
          <w:lang w:val="ro-RO"/>
        </w:rPr>
      </w:pPr>
      <w:r w:rsidRPr="006734EA">
        <w:rPr>
          <w:rFonts w:ascii="Trebuchet MS" w:hAnsi="Trebuchet MS"/>
          <w:bCs/>
          <w:i/>
          <w:iCs/>
          <w:noProof/>
          <w:sz w:val="24"/>
          <w:szCs w:val="24"/>
          <w:lang w:val="ro-RO"/>
        </w:rPr>
        <w:t>(3) Prevederile legislației fiscale se interpretează unele prin altele, dând fiecăreia înțelesul ce rezultă din ansamblul legii.</w:t>
      </w:r>
    </w:p>
    <w:p w:rsidR="006734EA" w:rsidRPr="006734EA" w:rsidRDefault="006734EA" w:rsidP="006734EA">
      <w:pPr>
        <w:tabs>
          <w:tab w:val="left" w:pos="0"/>
        </w:tabs>
        <w:autoSpaceDE w:val="0"/>
        <w:autoSpaceDN w:val="0"/>
        <w:adjustRightInd w:val="0"/>
        <w:jc w:val="both"/>
        <w:rPr>
          <w:rFonts w:ascii="Trebuchet MS" w:hAnsi="Trebuchet MS"/>
          <w:bCs/>
          <w:i/>
          <w:iCs/>
          <w:noProof/>
          <w:sz w:val="24"/>
          <w:szCs w:val="24"/>
          <w:lang w:val="ro-RO"/>
        </w:rPr>
      </w:pPr>
      <w:r w:rsidRPr="006734EA">
        <w:rPr>
          <w:rFonts w:ascii="Trebuchet MS" w:hAnsi="Trebuchet MS"/>
          <w:bCs/>
          <w:i/>
          <w:iCs/>
          <w:noProof/>
          <w:sz w:val="24"/>
          <w:szCs w:val="24"/>
          <w:lang w:val="ro-RO"/>
        </w:rPr>
        <w:t>(4) Prevederile legislației fiscale susceptibile de mai multe înțelesuri se interpretează în sensul în care corespund cel mai bine obiectului și scopului legii.</w:t>
      </w:r>
    </w:p>
    <w:p w:rsidR="006734EA" w:rsidRPr="006734EA" w:rsidRDefault="006734EA" w:rsidP="006734EA">
      <w:pPr>
        <w:autoSpaceDE w:val="0"/>
        <w:autoSpaceDN w:val="0"/>
        <w:adjustRightInd w:val="0"/>
        <w:jc w:val="both"/>
        <w:rPr>
          <w:rFonts w:ascii="Trebuchet MS" w:hAnsi="Trebuchet MS"/>
          <w:bCs/>
          <w:i/>
          <w:iCs/>
          <w:noProof/>
          <w:sz w:val="24"/>
          <w:szCs w:val="24"/>
          <w:lang w:val="ro-RO"/>
        </w:rPr>
      </w:pPr>
      <w:r w:rsidRPr="006734EA">
        <w:rPr>
          <w:rFonts w:ascii="Trebuchet MS" w:hAnsi="Trebuchet MS"/>
          <w:bCs/>
          <w:i/>
          <w:iCs/>
          <w:noProof/>
          <w:sz w:val="24"/>
          <w:szCs w:val="24"/>
          <w:lang w:val="ro-RO"/>
        </w:rPr>
        <w:t>(5) Prevederile legislației fiscale se interpretează în sensul în care pot produce efecte, iar nu în acela în care nu ar putea produce niciunul.</w:t>
      </w:r>
    </w:p>
    <w:p w:rsidR="006734EA" w:rsidRPr="006734EA" w:rsidRDefault="006734EA" w:rsidP="006734EA">
      <w:pPr>
        <w:autoSpaceDE w:val="0"/>
        <w:autoSpaceDN w:val="0"/>
        <w:adjustRightInd w:val="0"/>
        <w:ind w:hanging="1"/>
        <w:jc w:val="both"/>
        <w:rPr>
          <w:rFonts w:ascii="Trebuchet MS" w:hAnsi="Trebuchet MS" w:cs="Arial"/>
          <w:bCs/>
          <w:i/>
          <w:iCs/>
          <w:noProof/>
          <w:sz w:val="24"/>
          <w:szCs w:val="24"/>
          <w:lang w:val="ro-RO"/>
        </w:rPr>
      </w:pPr>
      <w:r w:rsidRPr="006734EA">
        <w:rPr>
          <w:rFonts w:ascii="Trebuchet MS" w:hAnsi="Trebuchet MS"/>
          <w:bCs/>
          <w:i/>
          <w:iCs/>
          <w:noProof/>
          <w:sz w:val="24"/>
          <w:szCs w:val="24"/>
          <w:lang w:val="ro-RO"/>
        </w:rPr>
        <w:t>(6) Dacă după aplicarea regulilor de interpretare prevăzute la alin. (1) - (5), prevederile legislației fiscale rămân neclare, acestea se interpretează în favoarea contribuabilului/plătitorului.”</w:t>
      </w:r>
    </w:p>
    <w:p w:rsidR="006734EA" w:rsidRPr="006734EA" w:rsidRDefault="006734EA" w:rsidP="006734EA">
      <w:pPr>
        <w:autoSpaceDE w:val="0"/>
        <w:autoSpaceDN w:val="0"/>
        <w:adjustRightInd w:val="0"/>
        <w:jc w:val="both"/>
        <w:rPr>
          <w:rFonts w:ascii="Trebuchet MS" w:hAnsi="Trebuchet MS" w:cs="Arial"/>
          <w:bCs/>
          <w:noProof/>
          <w:sz w:val="24"/>
          <w:szCs w:val="24"/>
          <w:lang w:val="ro-RO"/>
        </w:rPr>
      </w:pPr>
      <w:r w:rsidRPr="006734EA">
        <w:rPr>
          <w:rFonts w:ascii="Trebuchet MS" w:hAnsi="Trebuchet MS" w:cs="Arial"/>
          <w:bCs/>
          <w:noProof/>
          <w:sz w:val="24"/>
          <w:szCs w:val="24"/>
          <w:lang w:val="ro-RO"/>
        </w:rPr>
        <w:lastRenderedPageBreak/>
        <w:t>În contextul celor antemenționate, considerăm că prin sintagma ”</w:t>
      </w:r>
      <w:r w:rsidRPr="006734EA">
        <w:rPr>
          <w:rFonts w:ascii="Trebuchet MS" w:hAnsi="Trebuchet MS" w:cs="Arial"/>
          <w:bCs/>
          <w:i/>
          <w:iCs/>
          <w:noProof/>
          <w:sz w:val="24"/>
          <w:szCs w:val="24"/>
          <w:lang w:val="ro-RO"/>
        </w:rPr>
        <w:t>hrană acordată de către angajator pentru angajaţii proprii”</w:t>
      </w:r>
      <w:r w:rsidRPr="006734EA">
        <w:rPr>
          <w:rStyle w:val="FootnoteReference"/>
          <w:rFonts w:ascii="Trebuchet MS" w:hAnsi="Trebuchet MS" w:cs="Arial"/>
          <w:bCs/>
          <w:i/>
          <w:iCs/>
          <w:noProof/>
          <w:sz w:val="24"/>
          <w:szCs w:val="24"/>
          <w:lang w:val="ro-RO"/>
        </w:rPr>
        <w:footnoteReference w:id="1"/>
      </w:r>
      <w:r w:rsidRPr="006734EA">
        <w:rPr>
          <w:rFonts w:ascii="Trebuchet MS" w:hAnsi="Trebuchet MS" w:cs="Arial"/>
          <w:bCs/>
          <w:noProof/>
          <w:sz w:val="24"/>
          <w:szCs w:val="24"/>
          <w:lang w:val="ro-RO"/>
        </w:rPr>
        <w:t xml:space="preserve"> se are în vedere exclusiv situația acordării de către angajator, angajaților proprii, </w:t>
      </w:r>
      <w:r w:rsidRPr="004C2CA8">
        <w:rPr>
          <w:rFonts w:ascii="Trebuchet MS" w:hAnsi="Trebuchet MS" w:cs="Arial"/>
          <w:bCs/>
          <w:noProof/>
          <w:sz w:val="24"/>
          <w:szCs w:val="24"/>
          <w:lang w:val="ro-RO"/>
        </w:rPr>
        <w:t xml:space="preserve">a </w:t>
      </w:r>
      <w:r w:rsidRPr="004C2CA8">
        <w:rPr>
          <w:rFonts w:ascii="Trebuchet MS" w:hAnsi="Trebuchet MS" w:cs="Arial"/>
          <w:noProof/>
          <w:sz w:val="24"/>
          <w:szCs w:val="24"/>
          <w:lang w:val="ro-RO"/>
        </w:rPr>
        <w:t>hranei preparate în unități proprii sau achiziționată de la unități specializate</w:t>
      </w:r>
      <w:r w:rsidRPr="004C2CA8">
        <w:rPr>
          <w:rFonts w:ascii="Trebuchet MS" w:hAnsi="Trebuchet MS" w:cs="Arial"/>
          <w:bCs/>
          <w:noProof/>
          <w:sz w:val="24"/>
          <w:szCs w:val="24"/>
          <w:lang w:val="ro-RO"/>
        </w:rPr>
        <w:t>,</w:t>
      </w:r>
      <w:r w:rsidRPr="004C2CA8">
        <w:rPr>
          <w:rFonts w:ascii="Trebuchet MS" w:hAnsi="Trebuchet MS" w:cs="Arial"/>
          <w:bCs/>
          <w:noProof/>
          <w:color w:val="FF0000"/>
          <w:sz w:val="24"/>
          <w:szCs w:val="24"/>
          <w:lang w:val="ro-RO"/>
        </w:rPr>
        <w:t xml:space="preserve"> </w:t>
      </w:r>
      <w:r w:rsidRPr="004C2CA8">
        <w:rPr>
          <w:rFonts w:ascii="Trebuchet MS" w:hAnsi="Trebuchet MS" w:cs="Arial"/>
          <w:bCs/>
          <w:noProof/>
          <w:sz w:val="24"/>
          <w:szCs w:val="24"/>
          <w:lang w:val="ro-RO"/>
        </w:rPr>
        <w:t>fără</w:t>
      </w:r>
      <w:r w:rsidRPr="006734EA">
        <w:rPr>
          <w:rFonts w:ascii="Trebuchet MS" w:hAnsi="Trebuchet MS" w:cs="Arial"/>
          <w:bCs/>
          <w:noProof/>
          <w:sz w:val="24"/>
          <w:szCs w:val="24"/>
          <w:lang w:val="ro-RO"/>
        </w:rPr>
        <w:t xml:space="preserve"> a extinde acest avantaj la situația acordării unei sume de bani pentru acoperirea nevoii de hrană a salariatului.</w:t>
      </w:r>
    </w:p>
    <w:p w:rsidR="006734EA" w:rsidRPr="006734EA" w:rsidRDefault="006734EA" w:rsidP="006734EA">
      <w:pPr>
        <w:autoSpaceDE w:val="0"/>
        <w:autoSpaceDN w:val="0"/>
        <w:adjustRightInd w:val="0"/>
        <w:jc w:val="both"/>
        <w:rPr>
          <w:rFonts w:ascii="Trebuchet MS" w:hAnsi="Trebuchet MS" w:cs="Arial"/>
          <w:bCs/>
          <w:i/>
          <w:iCs/>
          <w:noProof/>
          <w:sz w:val="24"/>
          <w:szCs w:val="24"/>
          <w:lang w:val="ro-RO"/>
        </w:rPr>
      </w:pPr>
      <w:r w:rsidRPr="006734EA">
        <w:rPr>
          <w:rFonts w:ascii="Trebuchet MS" w:hAnsi="Trebuchet MS" w:cs="Arial"/>
          <w:bCs/>
          <w:noProof/>
          <w:sz w:val="24"/>
          <w:szCs w:val="24"/>
          <w:lang w:val="ro-RO"/>
        </w:rPr>
        <w:t>De asemenea, precizăm faptul că pr</w:t>
      </w:r>
      <w:bookmarkStart w:id="0" w:name="_GoBack"/>
      <w:bookmarkEnd w:id="0"/>
      <w:r w:rsidRPr="006734EA">
        <w:rPr>
          <w:rFonts w:ascii="Trebuchet MS" w:hAnsi="Trebuchet MS" w:cs="Arial"/>
          <w:bCs/>
          <w:noProof/>
          <w:sz w:val="24"/>
          <w:szCs w:val="24"/>
          <w:lang w:val="ro-RO"/>
        </w:rPr>
        <w:t xml:space="preserve">evederile fiscale analizate sunt aplicabile și în cazul acordării acestui avantaj, în forma anterior prezentată, salariaților care beneficiază de prestații suplimentare potrivit clauzei de mobilitate în condițiile prevăzute de </w:t>
      </w:r>
      <w:r w:rsidRPr="006734EA">
        <w:rPr>
          <w:rFonts w:ascii="Trebuchet MS" w:hAnsi="Trebuchet MS" w:cs="Arial"/>
          <w:bCs/>
          <w:i/>
          <w:iCs/>
          <w:noProof/>
          <w:sz w:val="24"/>
          <w:szCs w:val="24"/>
          <w:lang w:val="ro-RO"/>
        </w:rPr>
        <w:t xml:space="preserve">Legea nr. 53/2003 privind Codul muncii, republicată, cu modificările și completările ulterioare.  </w:t>
      </w:r>
    </w:p>
    <w:p w:rsidR="006734EA" w:rsidRPr="006734EA" w:rsidRDefault="006734EA" w:rsidP="006734EA">
      <w:pPr>
        <w:autoSpaceDE w:val="0"/>
        <w:autoSpaceDN w:val="0"/>
        <w:adjustRightInd w:val="0"/>
        <w:jc w:val="both"/>
        <w:rPr>
          <w:rFonts w:ascii="Trebuchet MS" w:hAnsi="Trebuchet MS" w:cs="Arial"/>
          <w:bCs/>
          <w:noProof/>
          <w:sz w:val="24"/>
          <w:szCs w:val="24"/>
          <w:lang w:val="ro-RO"/>
        </w:rPr>
      </w:pPr>
      <w:r w:rsidRPr="006734EA">
        <w:rPr>
          <w:rFonts w:ascii="Trebuchet MS" w:hAnsi="Trebuchet MS" w:cs="Arial"/>
          <w:bCs/>
          <w:noProof/>
          <w:sz w:val="24"/>
          <w:szCs w:val="24"/>
          <w:lang w:val="ro-RO"/>
        </w:rPr>
        <w:t xml:space="preserve">În ceea ce privește sumele acordate salariaților detașați în străinătate, respectiv indemnizația specifică detașării transnaționale, arătăm faptul că, din punct de vedere al impozitului pe venit, acestora le sunt aplicabile prevederile art. 76 alin. (4) lit. h) din </w:t>
      </w:r>
      <w:r w:rsidRPr="006734EA">
        <w:rPr>
          <w:rFonts w:ascii="Trebuchet MS" w:hAnsi="Trebuchet MS"/>
          <w:bCs/>
          <w:i/>
          <w:iCs/>
          <w:noProof/>
          <w:sz w:val="24"/>
          <w:szCs w:val="24"/>
          <w:lang w:val="ro-RO"/>
        </w:rPr>
        <w:t xml:space="preserve">Legea nr. 227/2015 cu modificările și completările ulterioare, </w:t>
      </w:r>
      <w:r w:rsidRPr="006734EA">
        <w:rPr>
          <w:rFonts w:ascii="Trebuchet MS" w:hAnsi="Trebuchet MS" w:cs="Arial"/>
          <w:bCs/>
          <w:noProof/>
          <w:sz w:val="24"/>
          <w:szCs w:val="24"/>
          <w:lang w:val="ro-RO"/>
        </w:rPr>
        <w:t>în limitele prevăzute la alin. (2) lit. k) al aceluiași articol</w:t>
      </w:r>
      <w:r w:rsidRPr="006734EA">
        <w:rPr>
          <w:rFonts w:ascii="Trebuchet MS" w:hAnsi="Trebuchet MS"/>
          <w:bCs/>
          <w:i/>
          <w:iCs/>
          <w:noProof/>
          <w:sz w:val="24"/>
          <w:szCs w:val="24"/>
          <w:lang w:val="ro-RO"/>
        </w:rPr>
        <w:t>.</w:t>
      </w:r>
      <w:r w:rsidRPr="006734EA">
        <w:rPr>
          <w:rFonts w:ascii="Trebuchet MS" w:hAnsi="Trebuchet MS" w:cs="Arial"/>
          <w:bCs/>
          <w:noProof/>
          <w:sz w:val="24"/>
          <w:szCs w:val="24"/>
          <w:lang w:val="ro-RO"/>
        </w:rPr>
        <w:t xml:space="preserve"> </w:t>
      </w:r>
    </w:p>
    <w:p w:rsidR="00B24AA3" w:rsidRPr="006734EA" w:rsidRDefault="00B24AA3" w:rsidP="00160E76">
      <w:pPr>
        <w:spacing w:after="120"/>
        <w:jc w:val="both"/>
        <w:rPr>
          <w:rFonts w:ascii="Trebuchet MS" w:hAnsi="Trebuchet MS"/>
          <w:b/>
          <w:sz w:val="24"/>
          <w:szCs w:val="24"/>
        </w:rPr>
      </w:pPr>
    </w:p>
    <w:p w:rsidR="00CB2AAA" w:rsidRPr="006734EA" w:rsidRDefault="00043E06" w:rsidP="00EF6046">
      <w:pPr>
        <w:spacing w:after="0" w:line="360" w:lineRule="auto"/>
        <w:jc w:val="both"/>
        <w:rPr>
          <w:sz w:val="24"/>
          <w:szCs w:val="24"/>
        </w:rPr>
      </w:pPr>
      <w:r w:rsidRPr="006734EA">
        <w:rPr>
          <w:rFonts w:ascii="Trebuchet MS" w:hAnsi="Trebuchet MS"/>
          <w:b/>
          <w:sz w:val="24"/>
          <w:szCs w:val="24"/>
        </w:rPr>
        <w:t>Biroul de relații cu mass-media</w:t>
      </w:r>
      <w:r w:rsidR="001E3A6D" w:rsidRPr="006734EA">
        <w:rPr>
          <w:sz w:val="24"/>
          <w:szCs w:val="24"/>
        </w:rPr>
        <w:tab/>
      </w:r>
    </w:p>
    <w:sectPr w:rsidR="00CB2AAA" w:rsidRPr="006734EA" w:rsidSect="00DC5CB1">
      <w:footerReference w:type="default" r:id="rId9"/>
      <w:pgSz w:w="11907" w:h="16840" w:code="9"/>
      <w:pgMar w:top="851" w:right="927" w:bottom="1134" w:left="16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E7" w:rsidRDefault="007A5CE7" w:rsidP="004105CC">
      <w:pPr>
        <w:spacing w:after="0" w:line="240" w:lineRule="auto"/>
      </w:pPr>
      <w:r>
        <w:separator/>
      </w:r>
    </w:p>
  </w:endnote>
  <w:endnote w:type="continuationSeparator" w:id="0">
    <w:p w:rsidR="007A5CE7" w:rsidRDefault="007A5CE7" w:rsidP="0041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774751"/>
      <w:docPartObj>
        <w:docPartGallery w:val="Page Numbers (Bottom of Page)"/>
        <w:docPartUnique/>
      </w:docPartObj>
    </w:sdtPr>
    <w:sdtEndPr/>
    <w:sdtContent>
      <w:sdt>
        <w:sdtPr>
          <w:id w:val="-1769616900"/>
          <w:docPartObj>
            <w:docPartGallery w:val="Page Numbers (Top of Page)"/>
            <w:docPartUnique/>
          </w:docPartObj>
        </w:sdtPr>
        <w:sdtEndPr/>
        <w:sdtContent>
          <w:p w:rsidR="00F364BB" w:rsidRDefault="00F364BB" w:rsidP="002C027A">
            <w:pPr>
              <w:pStyle w:val="Footer"/>
              <w:rPr>
                <w:rFonts w:ascii="Trebuchet MS" w:hAnsi="Trebuchet MS"/>
                <w:sz w:val="18"/>
                <w:szCs w:val="18"/>
              </w:rPr>
            </w:pPr>
          </w:p>
          <w:p w:rsidR="00F364BB" w:rsidRDefault="00F364BB" w:rsidP="00E9154B">
            <w:pPr>
              <w:pStyle w:val="Footer"/>
              <w:rPr>
                <w:rFonts w:ascii="Trebuchet MS" w:hAnsi="Trebuchet MS"/>
                <w:sz w:val="18"/>
                <w:szCs w:val="18"/>
              </w:rPr>
            </w:pPr>
          </w:p>
          <w:p w:rsidR="00F364BB" w:rsidRPr="00CB2AAA" w:rsidRDefault="00F364BB" w:rsidP="00E9154B">
            <w:pPr>
              <w:pStyle w:val="Footer"/>
              <w:jc w:val="right"/>
            </w:pPr>
            <w:r>
              <w:t xml:space="preserve">Page </w:t>
            </w:r>
            <w:r w:rsidR="004D7B43" w:rsidRPr="00CB2AAA">
              <w:rPr>
                <w:bCs/>
                <w:sz w:val="24"/>
                <w:szCs w:val="24"/>
              </w:rPr>
              <w:fldChar w:fldCharType="begin"/>
            </w:r>
            <w:r w:rsidRPr="00CB2AAA">
              <w:rPr>
                <w:bCs/>
              </w:rPr>
              <w:instrText xml:space="preserve"> PAGE </w:instrText>
            </w:r>
            <w:r w:rsidR="004D7B43" w:rsidRPr="00CB2AAA">
              <w:rPr>
                <w:bCs/>
                <w:sz w:val="24"/>
                <w:szCs w:val="24"/>
              </w:rPr>
              <w:fldChar w:fldCharType="separate"/>
            </w:r>
            <w:r w:rsidR="004C2CA8">
              <w:rPr>
                <w:bCs/>
                <w:noProof/>
              </w:rPr>
              <w:t>2</w:t>
            </w:r>
            <w:r w:rsidR="004D7B43" w:rsidRPr="00CB2AAA">
              <w:rPr>
                <w:bCs/>
                <w:sz w:val="24"/>
                <w:szCs w:val="24"/>
              </w:rPr>
              <w:fldChar w:fldCharType="end"/>
            </w:r>
            <w:r w:rsidRPr="00CB2AAA">
              <w:rPr>
                <w:bCs/>
                <w:sz w:val="24"/>
                <w:szCs w:val="24"/>
              </w:rPr>
              <w:t>/</w:t>
            </w:r>
            <w:r w:rsidR="004D7B43" w:rsidRPr="00CB2AAA">
              <w:rPr>
                <w:bCs/>
                <w:sz w:val="24"/>
                <w:szCs w:val="24"/>
              </w:rPr>
              <w:fldChar w:fldCharType="begin"/>
            </w:r>
            <w:r w:rsidRPr="00CB2AAA">
              <w:rPr>
                <w:bCs/>
              </w:rPr>
              <w:instrText xml:space="preserve"> NUMPAGES  </w:instrText>
            </w:r>
            <w:r w:rsidR="004D7B43" w:rsidRPr="00CB2AAA">
              <w:rPr>
                <w:bCs/>
                <w:sz w:val="24"/>
                <w:szCs w:val="24"/>
              </w:rPr>
              <w:fldChar w:fldCharType="separate"/>
            </w:r>
            <w:r w:rsidR="004C2CA8">
              <w:rPr>
                <w:bCs/>
                <w:noProof/>
              </w:rPr>
              <w:t>2</w:t>
            </w:r>
            <w:r w:rsidR="004D7B43" w:rsidRPr="00CB2AAA">
              <w:rPr>
                <w:bCs/>
                <w:sz w:val="24"/>
                <w:szCs w:val="24"/>
              </w:rPr>
              <w:fldChar w:fldCharType="end"/>
            </w:r>
          </w:p>
        </w:sdtContent>
      </w:sdt>
    </w:sdtContent>
  </w:sdt>
  <w:p w:rsidR="00F364BB" w:rsidRDefault="00F364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E7" w:rsidRDefault="007A5CE7" w:rsidP="004105CC">
      <w:pPr>
        <w:spacing w:after="0" w:line="240" w:lineRule="auto"/>
      </w:pPr>
      <w:r>
        <w:separator/>
      </w:r>
    </w:p>
  </w:footnote>
  <w:footnote w:type="continuationSeparator" w:id="0">
    <w:p w:rsidR="007A5CE7" w:rsidRDefault="007A5CE7" w:rsidP="004105CC">
      <w:pPr>
        <w:spacing w:after="0" w:line="240" w:lineRule="auto"/>
      </w:pPr>
      <w:r>
        <w:continuationSeparator/>
      </w:r>
    </w:p>
  </w:footnote>
  <w:footnote w:id="1">
    <w:p w:rsidR="006734EA" w:rsidRDefault="006734EA" w:rsidP="006734EA">
      <w:pPr>
        <w:pStyle w:val="FootnoteText"/>
      </w:pPr>
      <w:r>
        <w:rPr>
          <w:rStyle w:val="FootnoteReference"/>
        </w:rPr>
        <w:footnoteRef/>
      </w:r>
      <w:r>
        <w:t xml:space="preserve"> </w:t>
      </w:r>
      <w:r>
        <w:rPr>
          <w:lang w:val="ro-RO"/>
        </w:rPr>
        <w:t xml:space="preserve"> a</w:t>
      </w:r>
      <w:r>
        <w:rPr>
          <w:rFonts w:ascii="Trebuchet MS" w:hAnsi="Trebuchet MS" w:cs="Trebuchet MS"/>
          <w:lang w:val="ro-RO"/>
        </w:rPr>
        <w:t>rt. 76 alin. (4^1) lit. b) din Legea nr. 227/2015 privind Codul fiscal cu modificările și completările ulterioare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6D9"/>
    <w:multiLevelType w:val="hybridMultilevel"/>
    <w:tmpl w:val="3320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73AF4"/>
    <w:multiLevelType w:val="multilevel"/>
    <w:tmpl w:val="AC6E72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6AA757D"/>
    <w:multiLevelType w:val="hybridMultilevel"/>
    <w:tmpl w:val="57B67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144D7"/>
    <w:multiLevelType w:val="hybridMultilevel"/>
    <w:tmpl w:val="FC08696C"/>
    <w:lvl w:ilvl="0" w:tplc="F3BC1A30">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86698"/>
    <w:multiLevelType w:val="hybridMultilevel"/>
    <w:tmpl w:val="20D87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90699"/>
    <w:multiLevelType w:val="hybridMultilevel"/>
    <w:tmpl w:val="A3103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E1EE8"/>
    <w:multiLevelType w:val="hybridMultilevel"/>
    <w:tmpl w:val="E7C4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84F40"/>
    <w:multiLevelType w:val="hybridMultilevel"/>
    <w:tmpl w:val="362241FC"/>
    <w:lvl w:ilvl="0" w:tplc="88BC12A8">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507AC"/>
    <w:multiLevelType w:val="hybridMultilevel"/>
    <w:tmpl w:val="F35EF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15ECB"/>
    <w:multiLevelType w:val="hybridMultilevel"/>
    <w:tmpl w:val="9C76E5DA"/>
    <w:lvl w:ilvl="0" w:tplc="0409000B">
      <w:start w:val="1"/>
      <w:numFmt w:val="bullet"/>
      <w:lvlText w:val=""/>
      <w:lvlJc w:val="left"/>
      <w:pPr>
        <w:ind w:left="1636" w:hanging="360"/>
      </w:pPr>
      <w:rPr>
        <w:rFonts w:ascii="Wingdings" w:hAnsi="Wingding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75C42640"/>
    <w:multiLevelType w:val="hybridMultilevel"/>
    <w:tmpl w:val="03B24008"/>
    <w:lvl w:ilvl="0" w:tplc="82FA3BD6">
      <w:numFmt w:val="bullet"/>
      <w:lvlText w:val="-"/>
      <w:lvlJc w:val="left"/>
      <w:pPr>
        <w:ind w:left="720" w:hanging="360"/>
      </w:pPr>
      <w:rPr>
        <w:rFonts w:ascii="Trebuchet MS" w:eastAsia="SimSu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75330"/>
    <w:multiLevelType w:val="hybridMultilevel"/>
    <w:tmpl w:val="425E847E"/>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9"/>
  </w:num>
  <w:num w:numId="5">
    <w:abstractNumId w:val="2"/>
  </w:num>
  <w:num w:numId="6">
    <w:abstractNumId w:val="3"/>
  </w:num>
  <w:num w:numId="7">
    <w:abstractNumId w:val="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05CC"/>
    <w:rsid w:val="00011EDB"/>
    <w:rsid w:val="00022B36"/>
    <w:rsid w:val="0002431F"/>
    <w:rsid w:val="0002791F"/>
    <w:rsid w:val="00035B89"/>
    <w:rsid w:val="00043E06"/>
    <w:rsid w:val="00044B30"/>
    <w:rsid w:val="00046CF4"/>
    <w:rsid w:val="00052BCF"/>
    <w:rsid w:val="0007406E"/>
    <w:rsid w:val="00076371"/>
    <w:rsid w:val="000A0CE2"/>
    <w:rsid w:val="00110AFF"/>
    <w:rsid w:val="00112057"/>
    <w:rsid w:val="001170A9"/>
    <w:rsid w:val="001453B3"/>
    <w:rsid w:val="00160E76"/>
    <w:rsid w:val="001718AD"/>
    <w:rsid w:val="00173686"/>
    <w:rsid w:val="00177341"/>
    <w:rsid w:val="00187795"/>
    <w:rsid w:val="00187B9F"/>
    <w:rsid w:val="00195B36"/>
    <w:rsid w:val="001D3851"/>
    <w:rsid w:val="001E3A6D"/>
    <w:rsid w:val="002058F4"/>
    <w:rsid w:val="002248B1"/>
    <w:rsid w:val="00233B40"/>
    <w:rsid w:val="00264F2A"/>
    <w:rsid w:val="00266519"/>
    <w:rsid w:val="00276201"/>
    <w:rsid w:val="00293C27"/>
    <w:rsid w:val="002B7537"/>
    <w:rsid w:val="002C027A"/>
    <w:rsid w:val="002D23D2"/>
    <w:rsid w:val="002D637B"/>
    <w:rsid w:val="002F5E16"/>
    <w:rsid w:val="002F7D69"/>
    <w:rsid w:val="00303CC9"/>
    <w:rsid w:val="00315C1F"/>
    <w:rsid w:val="0031643E"/>
    <w:rsid w:val="00330B19"/>
    <w:rsid w:val="003523B9"/>
    <w:rsid w:val="003A003E"/>
    <w:rsid w:val="003D3972"/>
    <w:rsid w:val="003E5DE4"/>
    <w:rsid w:val="003F717B"/>
    <w:rsid w:val="004105CC"/>
    <w:rsid w:val="004402FD"/>
    <w:rsid w:val="00494609"/>
    <w:rsid w:val="004B0BCB"/>
    <w:rsid w:val="004C2CA8"/>
    <w:rsid w:val="004D7B43"/>
    <w:rsid w:val="004F0D53"/>
    <w:rsid w:val="004F712E"/>
    <w:rsid w:val="00506D16"/>
    <w:rsid w:val="00524D0A"/>
    <w:rsid w:val="00560BA4"/>
    <w:rsid w:val="00567B84"/>
    <w:rsid w:val="00591B88"/>
    <w:rsid w:val="006734EA"/>
    <w:rsid w:val="00687698"/>
    <w:rsid w:val="006E3E2F"/>
    <w:rsid w:val="007011AA"/>
    <w:rsid w:val="00707753"/>
    <w:rsid w:val="00715B66"/>
    <w:rsid w:val="00717964"/>
    <w:rsid w:val="00720CE7"/>
    <w:rsid w:val="00720FC1"/>
    <w:rsid w:val="0072224B"/>
    <w:rsid w:val="00727043"/>
    <w:rsid w:val="007335D8"/>
    <w:rsid w:val="00754155"/>
    <w:rsid w:val="00790B57"/>
    <w:rsid w:val="007A5CE7"/>
    <w:rsid w:val="007B4B63"/>
    <w:rsid w:val="007C5CA1"/>
    <w:rsid w:val="007C7510"/>
    <w:rsid w:val="007D4BE7"/>
    <w:rsid w:val="007E4BA8"/>
    <w:rsid w:val="007F2023"/>
    <w:rsid w:val="00812D12"/>
    <w:rsid w:val="00922741"/>
    <w:rsid w:val="00944591"/>
    <w:rsid w:val="00946F49"/>
    <w:rsid w:val="00967948"/>
    <w:rsid w:val="00970F00"/>
    <w:rsid w:val="009B2023"/>
    <w:rsid w:val="009C2DF8"/>
    <w:rsid w:val="009F4490"/>
    <w:rsid w:val="00A379AB"/>
    <w:rsid w:val="00A564E9"/>
    <w:rsid w:val="00A641C2"/>
    <w:rsid w:val="00A875E2"/>
    <w:rsid w:val="00AB6512"/>
    <w:rsid w:val="00AC407A"/>
    <w:rsid w:val="00AD3CF2"/>
    <w:rsid w:val="00AD45B1"/>
    <w:rsid w:val="00AD6ED9"/>
    <w:rsid w:val="00B03F5F"/>
    <w:rsid w:val="00B24AA3"/>
    <w:rsid w:val="00B24AA9"/>
    <w:rsid w:val="00B4231D"/>
    <w:rsid w:val="00B42C66"/>
    <w:rsid w:val="00B6239D"/>
    <w:rsid w:val="00B747E6"/>
    <w:rsid w:val="00BE1ED5"/>
    <w:rsid w:val="00C32F50"/>
    <w:rsid w:val="00C668FA"/>
    <w:rsid w:val="00C67001"/>
    <w:rsid w:val="00C8250D"/>
    <w:rsid w:val="00C8265E"/>
    <w:rsid w:val="00CB2AAA"/>
    <w:rsid w:val="00CB6EC1"/>
    <w:rsid w:val="00CE558A"/>
    <w:rsid w:val="00CF5AEF"/>
    <w:rsid w:val="00D13BEE"/>
    <w:rsid w:val="00D54426"/>
    <w:rsid w:val="00DB6D71"/>
    <w:rsid w:val="00DC5CB1"/>
    <w:rsid w:val="00DE2B07"/>
    <w:rsid w:val="00E3358A"/>
    <w:rsid w:val="00E54C31"/>
    <w:rsid w:val="00E600C6"/>
    <w:rsid w:val="00E63EC6"/>
    <w:rsid w:val="00E71998"/>
    <w:rsid w:val="00E9154B"/>
    <w:rsid w:val="00EA6EFE"/>
    <w:rsid w:val="00EB3ECD"/>
    <w:rsid w:val="00EC0DE6"/>
    <w:rsid w:val="00EC4C78"/>
    <w:rsid w:val="00ED0E9D"/>
    <w:rsid w:val="00ED7ECF"/>
    <w:rsid w:val="00EE5BF8"/>
    <w:rsid w:val="00EF6046"/>
    <w:rsid w:val="00F25FAC"/>
    <w:rsid w:val="00F364BB"/>
    <w:rsid w:val="00F401E1"/>
    <w:rsid w:val="00F834A7"/>
    <w:rsid w:val="00F93C3F"/>
    <w:rsid w:val="00FC665F"/>
    <w:rsid w:val="00FD6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EF76"/>
  <w15:docId w15:val="{C15C7CD3-6BB5-443C-B285-1FE4C05B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5CC"/>
    <w:pPr>
      <w:tabs>
        <w:tab w:val="center" w:pos="4680"/>
        <w:tab w:val="right" w:pos="9360"/>
      </w:tabs>
      <w:spacing w:after="0" w:line="240" w:lineRule="auto"/>
    </w:pPr>
  </w:style>
  <w:style w:type="character" w:customStyle="1" w:styleId="HeaderChar">
    <w:name w:val="Header Char"/>
    <w:basedOn w:val="DefaultParagraphFont"/>
    <w:link w:val="Header"/>
    <w:rsid w:val="004105CC"/>
  </w:style>
  <w:style w:type="paragraph" w:styleId="Footer">
    <w:name w:val="footer"/>
    <w:basedOn w:val="Normal"/>
    <w:link w:val="FooterChar"/>
    <w:uiPriority w:val="99"/>
    <w:unhideWhenUsed/>
    <w:rsid w:val="00410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5CC"/>
  </w:style>
  <w:style w:type="character" w:styleId="Hyperlink">
    <w:name w:val="Hyperlink"/>
    <w:basedOn w:val="DefaultParagraphFont"/>
    <w:uiPriority w:val="99"/>
    <w:unhideWhenUsed/>
    <w:rsid w:val="00E9154B"/>
    <w:rPr>
      <w:color w:val="0563C1" w:themeColor="hyperlink"/>
      <w:u w:val="single"/>
    </w:rPr>
  </w:style>
  <w:style w:type="paragraph" w:styleId="ListParagraph">
    <w:name w:val="List Paragraph"/>
    <w:basedOn w:val="Normal"/>
    <w:uiPriority w:val="34"/>
    <w:qFormat/>
    <w:rsid w:val="007C5CA1"/>
    <w:pPr>
      <w:ind w:left="720"/>
      <w:contextualSpacing/>
    </w:pPr>
  </w:style>
  <w:style w:type="paragraph" w:customStyle="1" w:styleId="xxmsonormal">
    <w:name w:val="x_xmsonormal"/>
    <w:basedOn w:val="Normal"/>
    <w:rsid w:val="002C027A"/>
    <w:pPr>
      <w:spacing w:after="0" w:line="240" w:lineRule="auto"/>
    </w:pPr>
    <w:rPr>
      <w:rFonts w:ascii="Times New Roman" w:eastAsia="Calibri" w:hAnsi="Times New Roman" w:cs="Times New Roman"/>
      <w:sz w:val="24"/>
      <w:szCs w:val="24"/>
    </w:rPr>
  </w:style>
  <w:style w:type="paragraph" w:customStyle="1" w:styleId="DefaultText">
    <w:name w:val="Default Text"/>
    <w:basedOn w:val="Normal"/>
    <w:rsid w:val="00ED7ECF"/>
    <w:pPr>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FootnoteTextChar">
    <w:name w:val="Footnote Text Char"/>
    <w:aliases w:val="Footnote Char,Fußnote Char1,Fußnotentext Char Char,Podrozdział Char,Footnote Text Char Char Char,single space Char,footnote text Char,FOOTNOTES Char,fn Char1,fn Char Char Char Char,fn Char Char Char1,fn Char Char1,Fußnote Char Char"/>
    <w:basedOn w:val="DefaultParagraphFont"/>
    <w:link w:val="FootnoteText"/>
    <w:uiPriority w:val="99"/>
    <w:semiHidden/>
    <w:locked/>
    <w:rsid w:val="00922741"/>
    <w:rPr>
      <w:lang w:val="en-GB"/>
    </w:rPr>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
    <w:basedOn w:val="Normal"/>
    <w:link w:val="FootnoteTextChar"/>
    <w:uiPriority w:val="99"/>
    <w:semiHidden/>
    <w:unhideWhenUsed/>
    <w:qFormat/>
    <w:rsid w:val="00922741"/>
    <w:pPr>
      <w:spacing w:after="0" w:line="240" w:lineRule="auto"/>
    </w:pPr>
    <w:rPr>
      <w:lang w:val="en-GB"/>
    </w:rPr>
  </w:style>
  <w:style w:type="character" w:customStyle="1" w:styleId="FootnoteTextChar1">
    <w:name w:val="Footnote Text Char1"/>
    <w:basedOn w:val="DefaultParagraphFont"/>
    <w:uiPriority w:val="99"/>
    <w:semiHidden/>
    <w:rsid w:val="00922741"/>
    <w:rPr>
      <w:sz w:val="20"/>
      <w:szCs w:val="20"/>
    </w:rPr>
  </w:style>
  <w:style w:type="character" w:styleId="FootnoteReference">
    <w:name w:val="footnote reference"/>
    <w:aliases w:val="BVI fnr,Footnote Reference Number,Times 10 Point,Exposant 3 Point,Footnote symbol,Footnote reference number,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unhideWhenUsed/>
    <w:qFormat/>
    <w:rsid w:val="00922741"/>
    <w:rPr>
      <w:vertAlign w:val="superscript"/>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922741"/>
    <w:pPr>
      <w:spacing w:line="240" w:lineRule="exact"/>
    </w:pPr>
    <w:rPr>
      <w:vertAlign w:val="superscript"/>
    </w:rPr>
  </w:style>
  <w:style w:type="paragraph" w:styleId="BalloonText">
    <w:name w:val="Balloon Text"/>
    <w:basedOn w:val="Normal"/>
    <w:link w:val="BalloonTextChar"/>
    <w:uiPriority w:val="99"/>
    <w:semiHidden/>
    <w:unhideWhenUsed/>
    <w:rsid w:val="00EF6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46"/>
    <w:rPr>
      <w:rFonts w:ascii="Tahoma" w:hAnsi="Tahoma" w:cs="Tahoma"/>
      <w:sz w:val="16"/>
      <w:szCs w:val="16"/>
    </w:rPr>
  </w:style>
  <w:style w:type="paragraph" w:styleId="BodyText3">
    <w:name w:val="Body Text 3"/>
    <w:basedOn w:val="Normal"/>
    <w:link w:val="BodyText3Char"/>
    <w:rsid w:val="002F5E16"/>
    <w:pPr>
      <w:spacing w:after="0" w:line="240" w:lineRule="auto"/>
      <w:jc w:val="both"/>
    </w:pPr>
    <w:rPr>
      <w:rFonts w:ascii="Times New Roman" w:eastAsia="Times New Roman" w:hAnsi="Times New Roman" w:cs="Times New Roman"/>
      <w:sz w:val="28"/>
      <w:szCs w:val="20"/>
      <w:lang w:val="en-GB"/>
    </w:rPr>
  </w:style>
  <w:style w:type="character" w:customStyle="1" w:styleId="BodyText3Char">
    <w:name w:val="Body Text 3 Char"/>
    <w:basedOn w:val="DefaultParagraphFont"/>
    <w:link w:val="BodyText3"/>
    <w:rsid w:val="002F5E16"/>
    <w:rPr>
      <w:rFonts w:ascii="Times New Roman" w:eastAsia="Times New Roman" w:hAnsi="Times New Roman" w:cs="Times New Roman"/>
      <w:sz w:val="28"/>
      <w:szCs w:val="20"/>
      <w:lang w:val="en-GB"/>
    </w:rPr>
  </w:style>
  <w:style w:type="paragraph" w:customStyle="1" w:styleId="CaracterCaracter">
    <w:name w:val="Caracter Caracter"/>
    <w:basedOn w:val="Normal"/>
    <w:rsid w:val="002F5E16"/>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6646">
      <w:bodyDiv w:val="1"/>
      <w:marLeft w:val="0"/>
      <w:marRight w:val="0"/>
      <w:marTop w:val="0"/>
      <w:marBottom w:val="0"/>
      <w:divBdr>
        <w:top w:val="none" w:sz="0" w:space="0" w:color="auto"/>
        <w:left w:val="none" w:sz="0" w:space="0" w:color="auto"/>
        <w:bottom w:val="none" w:sz="0" w:space="0" w:color="auto"/>
        <w:right w:val="none" w:sz="0" w:space="0" w:color="auto"/>
      </w:divBdr>
    </w:div>
    <w:div w:id="636378417">
      <w:bodyDiv w:val="1"/>
      <w:marLeft w:val="0"/>
      <w:marRight w:val="0"/>
      <w:marTop w:val="0"/>
      <w:marBottom w:val="0"/>
      <w:divBdr>
        <w:top w:val="none" w:sz="0" w:space="0" w:color="auto"/>
        <w:left w:val="none" w:sz="0" w:space="0" w:color="auto"/>
        <w:bottom w:val="none" w:sz="0" w:space="0" w:color="auto"/>
        <w:right w:val="none" w:sz="0" w:space="0" w:color="auto"/>
      </w:divBdr>
    </w:div>
    <w:div w:id="885798696">
      <w:bodyDiv w:val="1"/>
      <w:marLeft w:val="0"/>
      <w:marRight w:val="0"/>
      <w:marTop w:val="0"/>
      <w:marBottom w:val="0"/>
      <w:divBdr>
        <w:top w:val="none" w:sz="0" w:space="0" w:color="auto"/>
        <w:left w:val="none" w:sz="0" w:space="0" w:color="auto"/>
        <w:bottom w:val="none" w:sz="0" w:space="0" w:color="auto"/>
        <w:right w:val="none" w:sz="0" w:space="0" w:color="auto"/>
      </w:divBdr>
    </w:div>
    <w:div w:id="1152715886">
      <w:bodyDiv w:val="1"/>
      <w:marLeft w:val="0"/>
      <w:marRight w:val="0"/>
      <w:marTop w:val="0"/>
      <w:marBottom w:val="0"/>
      <w:divBdr>
        <w:top w:val="none" w:sz="0" w:space="0" w:color="auto"/>
        <w:left w:val="none" w:sz="0" w:space="0" w:color="auto"/>
        <w:bottom w:val="none" w:sz="0" w:space="0" w:color="auto"/>
        <w:right w:val="none" w:sz="0" w:space="0" w:color="auto"/>
      </w:divBdr>
    </w:div>
    <w:div w:id="1259800880">
      <w:bodyDiv w:val="1"/>
      <w:marLeft w:val="0"/>
      <w:marRight w:val="0"/>
      <w:marTop w:val="0"/>
      <w:marBottom w:val="0"/>
      <w:divBdr>
        <w:top w:val="none" w:sz="0" w:space="0" w:color="auto"/>
        <w:left w:val="none" w:sz="0" w:space="0" w:color="auto"/>
        <w:bottom w:val="none" w:sz="0" w:space="0" w:color="auto"/>
        <w:right w:val="none" w:sz="0" w:space="0" w:color="auto"/>
      </w:divBdr>
    </w:div>
    <w:div w:id="1406950418">
      <w:bodyDiv w:val="1"/>
      <w:marLeft w:val="0"/>
      <w:marRight w:val="0"/>
      <w:marTop w:val="0"/>
      <w:marBottom w:val="0"/>
      <w:divBdr>
        <w:top w:val="none" w:sz="0" w:space="0" w:color="auto"/>
        <w:left w:val="none" w:sz="0" w:space="0" w:color="auto"/>
        <w:bottom w:val="none" w:sz="0" w:space="0" w:color="auto"/>
        <w:right w:val="none" w:sz="0" w:space="0" w:color="auto"/>
      </w:divBdr>
    </w:div>
    <w:div w:id="1565798444">
      <w:bodyDiv w:val="1"/>
      <w:marLeft w:val="0"/>
      <w:marRight w:val="0"/>
      <w:marTop w:val="0"/>
      <w:marBottom w:val="0"/>
      <w:divBdr>
        <w:top w:val="none" w:sz="0" w:space="0" w:color="auto"/>
        <w:left w:val="none" w:sz="0" w:space="0" w:color="auto"/>
        <w:bottom w:val="none" w:sz="0" w:space="0" w:color="auto"/>
        <w:right w:val="none" w:sz="0" w:space="0" w:color="auto"/>
      </w:divBdr>
    </w:div>
    <w:div w:id="1664964225">
      <w:bodyDiv w:val="1"/>
      <w:marLeft w:val="0"/>
      <w:marRight w:val="0"/>
      <w:marTop w:val="0"/>
      <w:marBottom w:val="0"/>
      <w:divBdr>
        <w:top w:val="none" w:sz="0" w:space="0" w:color="auto"/>
        <w:left w:val="none" w:sz="0" w:space="0" w:color="auto"/>
        <w:bottom w:val="none" w:sz="0" w:space="0" w:color="auto"/>
        <w:right w:val="none" w:sz="0" w:space="0" w:color="auto"/>
      </w:divBdr>
    </w:div>
    <w:div w:id="17173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0607-50FC-4F44-B7C6-39F6A8A1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CRISTIAN-NICOLAE MARIN</dc:creator>
  <cp:lastModifiedBy>56858436</cp:lastModifiedBy>
  <cp:revision>9</cp:revision>
  <cp:lastPrinted>2022-07-20T08:22:00Z</cp:lastPrinted>
  <dcterms:created xsi:type="dcterms:W3CDTF">2022-11-02T10:22:00Z</dcterms:created>
  <dcterms:modified xsi:type="dcterms:W3CDTF">2023-02-14T14:28:00Z</dcterms:modified>
</cp:coreProperties>
</file>