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4A3" w:rsidRPr="00B564A3" w:rsidRDefault="00B564A3" w:rsidP="00B564A3">
      <w:pPr>
        <w:jc w:val="center"/>
        <w:rPr>
          <w:b/>
          <w:sz w:val="40"/>
          <w:szCs w:val="40"/>
        </w:rPr>
      </w:pPr>
      <w:r w:rsidRPr="00B564A3">
        <w:rPr>
          <w:b/>
          <w:sz w:val="40"/>
          <w:szCs w:val="40"/>
        </w:rPr>
        <w:t>AGENDA FISCALĂ A LUNII</w:t>
      </w:r>
      <w:r w:rsidR="00807B3C">
        <w:rPr>
          <w:b/>
          <w:sz w:val="40"/>
          <w:szCs w:val="40"/>
        </w:rPr>
        <w:t xml:space="preserve"> </w:t>
      </w:r>
      <w:r w:rsidR="001B059B">
        <w:rPr>
          <w:b/>
          <w:sz w:val="40"/>
          <w:szCs w:val="40"/>
        </w:rPr>
        <w:t>I</w:t>
      </w:r>
      <w:r w:rsidR="009A365F">
        <w:rPr>
          <w:b/>
          <w:sz w:val="40"/>
          <w:szCs w:val="40"/>
        </w:rPr>
        <w:t>UNIE</w:t>
      </w:r>
      <w:r w:rsidR="00E53080">
        <w:rPr>
          <w:b/>
          <w:sz w:val="40"/>
          <w:szCs w:val="40"/>
        </w:rPr>
        <w:t xml:space="preserve"> 2019</w:t>
      </w:r>
    </w:p>
    <w:p w:rsidR="0061169C" w:rsidRPr="001B7AA8" w:rsidRDefault="00B564A3" w:rsidP="001B7AA8">
      <w:pPr>
        <w:jc w:val="center"/>
        <w:rPr>
          <w:i/>
        </w:rPr>
      </w:pPr>
      <w:r w:rsidRPr="00B564A3">
        <w:rPr>
          <w:i/>
        </w:rPr>
        <w:t>(</w:t>
      </w:r>
      <w:r w:rsidRPr="00B564A3">
        <w:rPr>
          <w:b/>
          <w:i/>
        </w:rPr>
        <w:t>Sursa:</w:t>
      </w:r>
      <w:r w:rsidRPr="00B564A3">
        <w:rPr>
          <w:i/>
        </w:rPr>
        <w:t xml:space="preserve"> </w:t>
      </w:r>
      <w:hyperlink r:id="rId5" w:history="1">
        <w:r w:rsidRPr="00B564A3">
          <w:rPr>
            <w:rStyle w:val="Hyperlink"/>
            <w:i/>
          </w:rPr>
          <w:t>calendarul fiscal ANAF</w:t>
        </w:r>
      </w:hyperlink>
      <w:r>
        <w:rPr>
          <w:i/>
        </w:rPr>
        <w:t>)</w:t>
      </w:r>
    </w:p>
    <w:p w:rsidR="001B059B" w:rsidRDefault="001B059B"/>
    <w:tbl>
      <w:tblPr>
        <w:tblW w:w="11052"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65"/>
        <w:gridCol w:w="5540"/>
        <w:gridCol w:w="3547"/>
      </w:tblGrid>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rsidP="009A365F">
            <w:pPr>
              <w:spacing w:line="252" w:lineRule="atLeast"/>
              <w:jc w:val="center"/>
              <w:rPr>
                <w:rFonts w:ascii="Segoe UI" w:hAnsi="Segoe UI" w:cs="Segoe UI"/>
                <w:color w:val="000000"/>
              </w:rPr>
            </w:pPr>
            <w:r>
              <w:rPr>
                <w:rFonts w:ascii="Segoe UI" w:hAnsi="Segoe UI" w:cs="Segoe UI"/>
                <w:b/>
                <w:bCs/>
                <w:color w:val="009933"/>
              </w:rPr>
              <w:t>7</w:t>
            </w:r>
            <w:r>
              <w:rPr>
                <w:rFonts w:ascii="Segoe UI" w:hAnsi="Segoe UI" w:cs="Segoe UI"/>
                <w:b/>
                <w:bCs/>
                <w:color w:val="009933"/>
              </w:rPr>
              <w:t xml:space="preserve">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Declarației de mențiuni privind schimbarea perioadei fiscale pentru persoanele impozabile înregistrate în scopuri de TVA care utilizează trimestrul calendaristic ca perioadă fiscală și care efectuează o achiziție intracomunitară taxabilă în România - </w:t>
            </w:r>
            <w:hyperlink r:id="rId6" w:history="1">
              <w:r w:rsidRPr="009A365F">
                <w:rPr>
                  <w:rStyle w:val="Hyperlink"/>
                  <w:rFonts w:ascii="Segoe UI" w:hAnsi="Segoe UI" w:cs="Segoe UI"/>
                  <w:b/>
                </w:rPr>
                <w:t>Formularul 092</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189" w:lineRule="atLeast"/>
              <w:jc w:val="center"/>
              <w:rPr>
                <w:rFonts w:ascii="Segoe UI" w:hAnsi="Segoe UI" w:cs="Segoe UI"/>
                <w:color w:val="000000"/>
                <w:sz w:val="18"/>
                <w:szCs w:val="18"/>
              </w:rPr>
            </w:pPr>
            <w:r>
              <w:rPr>
                <w:rFonts w:ascii="Segoe UI" w:hAnsi="Segoe UI" w:cs="Segoe UI"/>
                <w:color w:val="000000"/>
              </w:rPr>
              <w:t>Contribuabilii înregistrați în scop de TVA care utilizează ca perioadă fiscală trimestrul și care au efectuat o achiziție intracomunitară taxabilă în România, fiind astfel obligați să își modifice perioada fiscală, devenind plătitori de TVA lunar.</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10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declarațiilor:</w:t>
            </w:r>
            <w:r>
              <w:rPr>
                <w:rFonts w:ascii="Segoe UI" w:hAnsi="Segoe UI" w:cs="Segoe UI"/>
                <w:color w:val="000000"/>
              </w:rPr>
              <w:br/>
              <w:t>- 010 Declarație de înregistrare fiscală/Declarație de mențiuni/Declarație de radiere pentru persoane juridice, asocieri și alte entități fără personalitate juridică - </w:t>
            </w:r>
            <w:hyperlink r:id="rId7" w:history="1">
              <w:r w:rsidRPr="009A365F">
                <w:rPr>
                  <w:rStyle w:val="Hyperlink"/>
                  <w:rFonts w:ascii="Segoe UI" w:hAnsi="Segoe UI" w:cs="Segoe UI"/>
                  <w:b/>
                </w:rPr>
                <w:t>Formularul 010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8" w:history="1">
              <w:r>
                <w:rPr>
                  <w:rStyle w:val="Hyperlink"/>
                  <w:rFonts w:ascii="Segoe UI" w:hAnsi="Segoe UI" w:cs="Segoe UI"/>
                </w:rPr>
                <w:t>Formularul electronic 700</w:t>
              </w:r>
            </w:hyperlink>
            <w:r>
              <w:rPr>
                <w:rFonts w:ascii="Segoe UI" w:hAnsi="Segoe UI" w:cs="Segoe UI"/>
                <w:color w:val="000000"/>
              </w:rPr>
              <w:t>, după caz.</w:t>
            </w:r>
            <w:r>
              <w:rPr>
                <w:rFonts w:ascii="Segoe UI" w:hAnsi="Segoe UI" w:cs="Segoe UI"/>
                <w:color w:val="000000"/>
              </w:rPr>
              <w:br/>
              <w:t xml:space="preserve">- 020 Declarație de înregistrare fiscală/Declarație de mențiuni pentru persoane fizice române și străine care dețin cod numeric personal </w:t>
            </w:r>
            <w:r w:rsidRPr="009A365F">
              <w:rPr>
                <w:rFonts w:ascii="Segoe UI" w:hAnsi="Segoe UI" w:cs="Segoe UI"/>
                <w:b/>
                <w:color w:val="000000"/>
              </w:rPr>
              <w:t>- </w:t>
            </w:r>
            <w:hyperlink r:id="rId9" w:history="1">
              <w:r w:rsidRPr="009A365F">
                <w:rPr>
                  <w:rStyle w:val="Hyperlink"/>
                  <w:rFonts w:ascii="Segoe UI" w:hAnsi="Segoe UI" w:cs="Segoe UI"/>
                  <w:b/>
                </w:rPr>
                <w:t>Formularul 020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10" w:history="1">
              <w:r>
                <w:rPr>
                  <w:rStyle w:val="Hyperlink"/>
                  <w:rFonts w:ascii="Segoe UI" w:hAnsi="Segoe UI" w:cs="Segoe UI"/>
                </w:rPr>
                <w:t>Formularul electronic 700</w:t>
              </w:r>
            </w:hyperlink>
            <w:r>
              <w:rPr>
                <w:rFonts w:ascii="Segoe UI" w:hAnsi="Segoe UI" w:cs="Segoe UI"/>
                <w:color w:val="000000"/>
              </w:rPr>
              <w:t>, după caz.</w:t>
            </w:r>
            <w:r>
              <w:rPr>
                <w:rFonts w:ascii="Segoe UI" w:hAnsi="Segoe UI" w:cs="Segoe UI"/>
                <w:color w:val="000000"/>
              </w:rPr>
              <w:br/>
              <w:t>- 070 Declarație de înregistrare fiscală/Declarație de mențiuni/Declarație de radiere pentru persoanele fizice care desfășoară activități economice în mod independent sau exercită profesii libere - </w:t>
            </w:r>
            <w:hyperlink r:id="rId11" w:history="1">
              <w:r w:rsidRPr="009A365F">
                <w:rPr>
                  <w:rStyle w:val="Hyperlink"/>
                  <w:rFonts w:ascii="Segoe UI" w:hAnsi="Segoe UI" w:cs="Segoe UI"/>
                  <w:b/>
                </w:rPr>
                <w:t>Formularul 070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12" w:history="1">
              <w:r>
                <w:rPr>
                  <w:rStyle w:val="Hyperlink"/>
                  <w:rFonts w:ascii="Segoe UI" w:hAnsi="Segoe UI" w:cs="Segoe UI"/>
                </w:rPr>
                <w:t>Formularul electronic 700</w:t>
              </w:r>
            </w:hyperlink>
            <w:r>
              <w:rPr>
                <w:rFonts w:ascii="Segoe UI" w:hAnsi="Segoe UI" w:cs="Segoe UI"/>
                <w:color w:val="000000"/>
              </w:rPr>
              <w:t>, după caz.</w:t>
            </w:r>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227/2015, care nu au depășit plafonul de scutire și care doresc să fie scoase din evidența persoanelor înregistrate în scopuri de TVA.</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10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formularului Notificare privind aplicarea/încetarea aplicării regimului special pentru agricultori - </w:t>
            </w:r>
            <w:hyperlink r:id="rId13" w:history="1">
              <w:r w:rsidRPr="009A365F">
                <w:rPr>
                  <w:rStyle w:val="Hyperlink"/>
                  <w:rFonts w:ascii="Segoe UI" w:hAnsi="Segoe UI" w:cs="Segoe UI"/>
                  <w:b/>
                </w:rPr>
                <w:t>Formularul 087</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 xml:space="preserve">Persoanele impozabile înregistrate în scopuri de TVA conform art. 316 din Legea 227/2015, care optează pentru </w:t>
            </w:r>
            <w:r>
              <w:rPr>
                <w:rFonts w:ascii="Segoe UI" w:hAnsi="Segoe UI" w:cs="Segoe UI"/>
                <w:color w:val="000000"/>
              </w:rPr>
              <w:lastRenderedPageBreak/>
              <w:t>aplicarea regimului special pentru agricultori.</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18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Situației eliberărilor pentru consum de tutun fin tăiat, destinat rulării în țigarete/alte tutunuri de fumat în luna ... anul ... - </w:t>
            </w:r>
            <w:hyperlink r:id="rId14" w:history="1">
              <w:r>
                <w:rPr>
                  <w:rStyle w:val="Hyperlink"/>
                  <w:rFonts w:ascii="Segoe UI" w:hAnsi="Segoe UI" w:cs="Segoe UI"/>
                </w:rPr>
                <w:t>Anexa nr.4 din normele metodologice de aplicare a prevederilor titlului VIII din Codul fiscal</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Antrepozitarii autorizați, destinatarii înregistrați sau importatorii autorizați pentru produse din grupa tutunului prelucrat</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18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Situației eliberărilor pentru consum de țigarete/țigări și țigări de foi în luna ... anul ... - </w:t>
            </w:r>
            <w:hyperlink r:id="rId15" w:history="1">
              <w:r>
                <w:rPr>
                  <w:rStyle w:val="Hyperlink"/>
                  <w:rFonts w:ascii="Segoe UI" w:hAnsi="Segoe UI" w:cs="Segoe UI"/>
                </w:rPr>
                <w:t>Anexa nr.3 din normele metodologice de aplicare a prevederilor titlului VIII din Codul fiscal</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Antrepozitarii autorizați, destinatarii înregistrați sau importatorii autorizați pentru produse din grupa tutunului prelucrat</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18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Situației centralizatoare privind achizițiile/utilizările de produse accizabile și livrările de produse finite rezultate în luna ... anul ..., pentru luna precedentă - </w:t>
            </w:r>
            <w:hyperlink r:id="rId16" w:history="1">
              <w:r>
                <w:rPr>
                  <w:rStyle w:val="Hyperlink"/>
                  <w:rFonts w:ascii="Segoe UI" w:hAnsi="Segoe UI" w:cs="Segoe UI"/>
                </w:rPr>
                <w:t>Anexa nr.26 din normele metodologice de aplicare a prevederilor titlului VIII din Codul fiscal</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Operatorii economici care dețin autorizații de utilizator final (produse energetice)</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18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Situației centralizatoare privind achizițiile/utilizările de produse accizabile și livrările de produse finite rezultate în luna ..., pentru luna precedentă - </w:t>
            </w:r>
            <w:hyperlink r:id="rId17" w:history="1">
              <w:r>
                <w:rPr>
                  <w:rStyle w:val="Hyperlink"/>
                  <w:rFonts w:ascii="Segoe UI" w:hAnsi="Segoe UI" w:cs="Segoe UI"/>
                </w:rPr>
                <w:t>Anexa nr.26 din normele metodologice de aplicare a prevederilor titlului VIII din Codul fiscal</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Operatorii economici care dețin autorizație de utilizator final (alcoolul etilic și a produse alcoolice)</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18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Situației centralizatoare privind achizițiile și livrările de produse accizabile pentru luna precedentă - </w:t>
            </w:r>
            <w:hyperlink r:id="rId18" w:history="1">
              <w:r>
                <w:rPr>
                  <w:rStyle w:val="Hyperlink"/>
                  <w:rFonts w:ascii="Segoe UI" w:hAnsi="Segoe UI" w:cs="Segoe UI"/>
                </w:rPr>
                <w:t>Anexa nr.19 din normele metodologice de aplicare a prevederilor titlului VIII din Codul fiscal</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Destinatarii înregistrați și reprezentanții fiscali pentru achizițiile și livrările de produse accizabile</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18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alcool și băuturi spirtoase pentru luna precedentă - </w:t>
            </w:r>
            <w:hyperlink r:id="rId19" w:history="1">
              <w:r>
                <w:rPr>
                  <w:rStyle w:val="Hyperlink"/>
                  <w:rFonts w:ascii="Segoe UI" w:hAnsi="Segoe UI" w:cs="Segoe UI"/>
                </w:rPr>
                <w:t>Anexa nr.12 din normele metodologice de aplicare a prevederilor titlului VIII din Codul fiscal</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18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 xml:space="preserve">Depunerea Situației privind operațiunile desfășurate în antrepozitul fiscal de producție de vinuri/bauturi fermentate/produse intermediare pentru luna </w:t>
            </w:r>
            <w:r>
              <w:rPr>
                <w:rFonts w:ascii="Segoe UI" w:hAnsi="Segoe UI" w:cs="Segoe UI"/>
                <w:color w:val="000000"/>
              </w:rPr>
              <w:lastRenderedPageBreak/>
              <w:t>precedentă - </w:t>
            </w:r>
            <w:hyperlink r:id="rId20" w:history="1">
              <w:r>
                <w:rPr>
                  <w:rStyle w:val="Hyperlink"/>
                  <w:rFonts w:ascii="Segoe UI" w:hAnsi="Segoe UI" w:cs="Segoe UI"/>
                </w:rPr>
                <w:t>Anexa nr.13 din normele metodologice de aplicare a prevederilor titlului VIII din Codul fiscal</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lastRenderedPageBreak/>
              <w:t>Antrepozitarii autorizați pentru producție produse accizabile</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18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bere pentru luna precedentă - </w:t>
            </w:r>
            <w:hyperlink r:id="rId21" w:history="1">
              <w:r>
                <w:rPr>
                  <w:rStyle w:val="Hyperlink"/>
                  <w:rFonts w:ascii="Segoe UI" w:hAnsi="Segoe UI" w:cs="Segoe UI"/>
                </w:rPr>
                <w:t>Anexa nr.14 din normele metodologice de aplicare a prevederilor titlului VIII din Codul fiscal</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18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tutunuri prelucrate pentru luna precedentă - </w:t>
            </w:r>
            <w:hyperlink r:id="rId22" w:history="1">
              <w:r>
                <w:rPr>
                  <w:rStyle w:val="Hyperlink"/>
                  <w:rFonts w:ascii="Segoe UI" w:hAnsi="Segoe UI" w:cs="Segoe UI"/>
                </w:rPr>
                <w:t>Anexa nr.15 din normele metodologice de aplicare a prevederilor titlului VIII din Codul fiscal</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18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produse energetice pentru luna precedentă - </w:t>
            </w:r>
            <w:hyperlink r:id="rId23" w:history="1">
              <w:r>
                <w:rPr>
                  <w:rStyle w:val="Hyperlink"/>
                  <w:rFonts w:ascii="Segoe UI" w:hAnsi="Segoe UI" w:cs="Segoe UI"/>
                </w:rPr>
                <w:t>Anexa nr.16 din normele metodologice de aplicare a prevederilor titlului VIII din Codul fiscal</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18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depozitare pentru luna precedentă - </w:t>
            </w:r>
            <w:hyperlink r:id="rId24" w:history="1">
              <w:r>
                <w:rPr>
                  <w:rStyle w:val="Hyperlink"/>
                  <w:rFonts w:ascii="Segoe UI" w:hAnsi="Segoe UI" w:cs="Segoe UI"/>
                </w:rPr>
                <w:t>Anexa nr.17 din normele metodologice de aplicare a prevederilor titlului VIII din Codul fiscal</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Antrepozitarii autorizați pentru depozitare produse accizabile</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18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jurnalelor pentru luna precedentă privind livrările de combustibil destinat utilizării exclusiv pentru aviație - </w:t>
            </w:r>
            <w:hyperlink r:id="rId25" w:history="1">
              <w:r>
                <w:rPr>
                  <w:rStyle w:val="Hyperlink"/>
                  <w:rFonts w:ascii="Segoe UI" w:hAnsi="Segoe UI" w:cs="Segoe UI"/>
                </w:rPr>
                <w:t>Anexa nr.29 din normele metodologice de aplicare a prevederilor titlului VIII din Codul fiscal</w:t>
              </w:r>
            </w:hyperlink>
            <w:r>
              <w:rPr>
                <w:rFonts w:ascii="Segoe UI" w:hAnsi="Segoe UI" w:cs="Segoe UI"/>
                <w:color w:val="000000"/>
              </w:rPr>
              <w:t> sau navigație - </w:t>
            </w:r>
            <w:hyperlink r:id="rId26" w:history="1">
              <w:r>
                <w:rPr>
                  <w:rStyle w:val="Hyperlink"/>
                  <w:rFonts w:ascii="Segoe UI" w:hAnsi="Segoe UI" w:cs="Segoe UI"/>
                </w:rPr>
                <w:t>Anexa nr.31 din normele metodologice de aplicare a prevederilor titlului VIII din Codul fiscal</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Antrepozitarii autorizați pentru producție/ depozitare</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18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jurnalelor pentru luna precedentă privind achizițiile/livrările de combustibil destinat utilizării exclusiv pentru aviație - </w:t>
            </w:r>
            <w:hyperlink r:id="rId27" w:history="1">
              <w:r>
                <w:rPr>
                  <w:rStyle w:val="Hyperlink"/>
                  <w:rFonts w:ascii="Segoe UI" w:hAnsi="Segoe UI" w:cs="Segoe UI"/>
                </w:rPr>
                <w:t>Anexa nr.30 din normele metodologice de aplicare a prevederilor titlului VIII din Codul fiscal</w:t>
              </w:r>
            </w:hyperlink>
            <w:r>
              <w:rPr>
                <w:rFonts w:ascii="Segoe UI" w:hAnsi="Segoe UI" w:cs="Segoe UI"/>
                <w:color w:val="000000"/>
              </w:rPr>
              <w:t> sau navigație - </w:t>
            </w:r>
            <w:hyperlink r:id="rId28" w:history="1">
              <w:r>
                <w:rPr>
                  <w:rStyle w:val="Hyperlink"/>
                  <w:rFonts w:ascii="Segoe UI" w:hAnsi="Segoe UI" w:cs="Segoe UI"/>
                </w:rPr>
                <w:t>Anexa nr.32 din normele metodologice de aplicare a prevederilor titlului VIII din Codul fiscal</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Antrepozitarii autorizați pentru depozitare</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18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Situației centralizatoare privind livrările de produse accizabile în luna ... anul ..., pentru luna precedentă - </w:t>
            </w:r>
            <w:hyperlink r:id="rId29" w:history="1">
              <w:r>
                <w:rPr>
                  <w:rStyle w:val="Hyperlink"/>
                  <w:rFonts w:ascii="Segoe UI" w:hAnsi="Segoe UI" w:cs="Segoe UI"/>
                </w:rPr>
                <w:t>Anexa nr.21 din normele metodologice de aplicare a prevederilor titlului VIII din Codul fiscal</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Operatorii economici care dețin autorizații de expeditor înregistrat</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18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Evidenței achiziționării, utilizării și returnării marcajelor pentru luna precedentă - </w:t>
            </w:r>
            <w:hyperlink r:id="rId30" w:history="1">
              <w:r>
                <w:rPr>
                  <w:rStyle w:val="Hyperlink"/>
                  <w:rFonts w:ascii="Segoe UI" w:hAnsi="Segoe UI" w:cs="Segoe UI"/>
                </w:rPr>
                <w:t>Anexa nr.42 din normele metodologice de aplicare a prevederilor titlului VIII din Codul fiscal</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Antrepozitarii autorizați, destinatarii înregistrați și importatorii autorizați de produse supuse marcării</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25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Plata taxei anuale aferente autorizației de exploatare a jocurilor de noroc, pentru trimestrul următor</w:t>
            </w:r>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Organizatorii de jocuri de noroc caracteristice activității cazinourilor și jocurile tip slot-machine</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25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Pr="009A365F" w:rsidRDefault="009A365F">
            <w:pPr>
              <w:spacing w:line="252" w:lineRule="atLeast"/>
              <w:rPr>
                <w:rFonts w:ascii="Segoe UI" w:hAnsi="Segoe UI" w:cs="Segoe UI"/>
                <w:b/>
                <w:color w:val="000000"/>
              </w:rPr>
            </w:pPr>
            <w:r w:rsidRPr="009A365F">
              <w:rPr>
                <w:rFonts w:ascii="Segoe UI" w:hAnsi="Segoe UI" w:cs="Segoe UI"/>
                <w:b/>
                <w:color w:val="000000"/>
              </w:rPr>
              <w:t>Plata impozitului reținut la sursă în luna precedentă</w:t>
            </w:r>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Plătitorii următoarelor venituri:</w:t>
            </w:r>
            <w:r>
              <w:rPr>
                <w:rFonts w:ascii="Segoe UI" w:hAnsi="Segoe UI" w:cs="Segoe UI"/>
                <w:color w:val="000000"/>
              </w:rPr>
              <w:br/>
              <w:t>- din drepturi de proprietate intelectuală;</w:t>
            </w:r>
            <w:r>
              <w:rPr>
                <w:rFonts w:ascii="Segoe UI" w:hAnsi="Segoe UI" w:cs="Segoe UI"/>
                <w:color w:val="000000"/>
              </w:rPr>
              <w:br/>
              <w:t xml:space="preserve">- </w:t>
            </w:r>
            <w:r w:rsidRPr="009A365F">
              <w:rPr>
                <w:rFonts w:ascii="Segoe UI" w:hAnsi="Segoe UI" w:cs="Segoe UI"/>
                <w:b/>
                <w:color w:val="000000"/>
              </w:rPr>
              <w:t>din salarii și asimilate salariilor;</w:t>
            </w:r>
            <w:r w:rsidRPr="009A365F">
              <w:rPr>
                <w:rFonts w:ascii="Segoe UI" w:hAnsi="Segoe UI" w:cs="Segoe UI"/>
                <w:b/>
                <w:color w:val="000000"/>
              </w:rPr>
              <w:br/>
            </w:r>
            <w:r>
              <w:rPr>
                <w:rFonts w:ascii="Segoe UI" w:hAnsi="Segoe UI" w:cs="Segoe UI"/>
                <w:color w:val="000000"/>
              </w:rPr>
              <w:t>- din premii și jocuri de noroc;</w:t>
            </w:r>
            <w:r>
              <w:rPr>
                <w:rFonts w:ascii="Segoe UI" w:hAnsi="Segoe UI" w:cs="Segoe UI"/>
                <w:color w:val="000000"/>
              </w:rPr>
              <w:br/>
              <w:t>- obținute de nerezidenți;</w:t>
            </w:r>
            <w:r>
              <w:rPr>
                <w:rFonts w:ascii="Segoe UI" w:hAnsi="Segoe UI" w:cs="Segoe UI"/>
                <w:color w:val="000000"/>
              </w:rPr>
              <w:br/>
              <w:t>- din alte surse</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25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Declarației privind obligațiile de plată la bugetul de stat - </w:t>
            </w:r>
            <w:hyperlink r:id="rId31" w:history="1">
              <w:r w:rsidRPr="009A365F">
                <w:rPr>
                  <w:rStyle w:val="Hyperlink"/>
                  <w:rFonts w:ascii="Segoe UI" w:hAnsi="Segoe UI" w:cs="Segoe UI"/>
                  <w:b/>
                </w:rPr>
                <w:t>Formularul 100</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proofErr w:type="gramStart"/>
            <w:r>
              <w:rPr>
                <w:rStyle w:val="Strong"/>
                <w:rFonts w:ascii="Segoe UI" w:hAnsi="Segoe UI" w:cs="Segoe UI"/>
                <w:color w:val="000000"/>
              </w:rPr>
              <w:t>- lunar</w:t>
            </w:r>
            <w:r>
              <w:rPr>
                <w:rFonts w:ascii="Segoe UI" w:hAnsi="Segoe UI" w:cs="Segoe UI"/>
                <w:color w:val="000000"/>
              </w:rPr>
              <w:t> - contribuabilii care au următoarele obligații de plată la bugetul de stat:</w:t>
            </w:r>
            <w:r>
              <w:rPr>
                <w:rFonts w:ascii="Segoe UI" w:hAnsi="Segoe UI" w:cs="Segoe UI"/>
                <w:color w:val="000000"/>
              </w:rPr>
              <w:br/>
              <w:t>- impozit pe venitul persoanelor fizice: impozit pe veniturile din dividende distribuite persoanelor fizice, impozit pe veniturile din dobânzi, impozit pe veniturile din premii, impozit pe veniturile din jocuri de noroc, impozit pe veniturile din transferul proprietăților imobiliare din patrimoniul personal, impozit pe veniturile din pensii, impozit pe veniturile din alte surse, datorat de persoanele fizice;</w:t>
            </w:r>
            <w:r>
              <w:rPr>
                <w:rFonts w:ascii="Segoe UI" w:hAnsi="Segoe UI" w:cs="Segoe UI"/>
                <w:color w:val="000000"/>
              </w:rPr>
              <w:br/>
              <w:t>- impozit pe veniturile obținute din România de nerezidenți;</w:t>
            </w:r>
            <w:r>
              <w:rPr>
                <w:rFonts w:ascii="Segoe UI" w:hAnsi="Segoe UI" w:cs="Segoe UI"/>
                <w:color w:val="000000"/>
              </w:rPr>
              <w:br/>
            </w:r>
            <w:r>
              <w:rPr>
                <w:rFonts w:ascii="Segoe UI" w:hAnsi="Segoe UI" w:cs="Segoe UI"/>
                <w:color w:val="000000"/>
              </w:rPr>
              <w:lastRenderedPageBreak/>
              <w:t>- taxa anuală de autorizare a jocurilor de noroc;</w:t>
            </w:r>
            <w:r>
              <w:rPr>
                <w:rFonts w:ascii="Segoe UI" w:hAnsi="Segoe UI" w:cs="Segoe UI"/>
                <w:color w:val="000000"/>
              </w:rPr>
              <w:br/>
              <w:t>- alte obligații de plată lunare prevăzute în OPANAF 587/2016 la anexa 4, cap.</w:t>
            </w:r>
            <w:proofErr w:type="gramEnd"/>
            <w:r>
              <w:rPr>
                <w:rFonts w:ascii="Segoe UI" w:hAnsi="Segoe UI" w:cs="Segoe UI"/>
                <w:color w:val="000000"/>
              </w:rPr>
              <w:t xml:space="preserve"> I, pct. 1, subpct. 1.1</w:t>
            </w:r>
            <w:proofErr w:type="gramStart"/>
            <w:r>
              <w:rPr>
                <w:rFonts w:ascii="Segoe UI" w:hAnsi="Segoe UI" w:cs="Segoe UI"/>
                <w:color w:val="000000"/>
              </w:rPr>
              <w:t>.</w:t>
            </w:r>
            <w:proofErr w:type="gramEnd"/>
            <w:r>
              <w:rPr>
                <w:rFonts w:ascii="Segoe UI" w:hAnsi="Segoe UI" w:cs="Segoe UI"/>
                <w:color w:val="000000"/>
              </w:rPr>
              <w:br/>
            </w:r>
            <w:r>
              <w:rPr>
                <w:rStyle w:val="Strong"/>
                <w:rFonts w:ascii="Segoe UI" w:hAnsi="Segoe UI" w:cs="Segoe UI"/>
                <w:color w:val="000000"/>
              </w:rPr>
              <w:t>- alte termene</w:t>
            </w:r>
            <w:r>
              <w:rPr>
                <w:rFonts w:ascii="Segoe UI" w:hAnsi="Segoe UI" w:cs="Segoe UI"/>
                <w:color w:val="000000"/>
              </w:rPr>
              <w:br/>
              <w:t>- alte obligații de plată prevăzute în OPANAF 587/2016 la anexa 4, cap. I, pct. 1, subpct. 1.3.</w:t>
            </w:r>
            <w:r>
              <w:rPr>
                <w:rFonts w:ascii="Segoe UI" w:hAnsi="Segoe UI" w:cs="Segoe UI"/>
                <w:color w:val="000000"/>
              </w:rPr>
              <w:br/>
              <w:t>(vezi instrucțiunile de completare din formular)</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25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Declarației privind obligațiile de plată a contribuțiilor sociale, impozitului pe venit și evidența nominală a persoanelor asigurate pentru luna precedentă - </w:t>
            </w:r>
            <w:hyperlink r:id="rId32" w:history="1">
              <w:r w:rsidRPr="009A365F">
                <w:rPr>
                  <w:rStyle w:val="Hyperlink"/>
                  <w:rFonts w:ascii="Segoe UI" w:hAnsi="Segoe UI" w:cs="Segoe UI"/>
                  <w:b/>
                </w:rPr>
                <w:t>Formularul 112</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 xml:space="preserve">Persoanele fizice și juridice care au calitatea de angajatori sau sunt asimilate acestora, </w:t>
            </w:r>
            <w:proofErr w:type="gramStart"/>
            <w:r>
              <w:rPr>
                <w:rFonts w:ascii="Segoe UI" w:hAnsi="Segoe UI" w:cs="Segoe UI"/>
                <w:color w:val="000000"/>
              </w:rPr>
              <w:t>instituțiile prevăzute la art</w:t>
            </w:r>
            <w:proofErr w:type="gramEnd"/>
            <w:r>
              <w:rPr>
                <w:rFonts w:ascii="Segoe UI" w:hAnsi="Segoe UI" w:cs="Segoe UI"/>
                <w:color w:val="000000"/>
              </w:rPr>
              <w:t>. 136 lit. d) - f) din Codul fiscal, precum și persoanele fizice care realizează în România venituri din salarii sau asimilate salariilor de la angajatori din state care nu intră sub incidența legislației europene aplicabile în domeniul securității sociale, precum și a acordurilor privind sistemele de securitate socială la care România este parte.</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25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Declarației privind veniturile sub formă de salarii și asimilate salariilor din străinătate obținute de către persoanele fizice care desfășoară activitate în România pentru luna precedentă - </w:t>
            </w:r>
            <w:hyperlink r:id="rId33" w:history="1">
              <w:r w:rsidRPr="009A365F">
                <w:rPr>
                  <w:rStyle w:val="Hyperlink"/>
                  <w:rFonts w:ascii="Segoe UI" w:hAnsi="Segoe UI" w:cs="Segoe UI"/>
                  <w:b/>
                </w:rPr>
                <w:t>Formularul 224</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proofErr w:type="gramStart"/>
            <w:r>
              <w:rPr>
                <w:rFonts w:ascii="Segoe UI" w:hAnsi="Segoe UI" w:cs="Segoe UI"/>
                <w:color w:val="000000"/>
              </w:rPr>
              <w:t xml:space="preserve">Persoanele fizice care își desfășoară activitatea în România, obțin venituri sub formă de salarii sau asimilate salariilor de la angajatori care nu au sediu social, sediu permanent sau reprezentanță în România și care datorează contribuțiile sociale obligatorii pentru salariații lor, potrivit prevederilor legislației europene aplicabile în domeniul securității sociale, precum și ale acordurilor privind sistemele de securitate socială la care România este parte, și care nu au încheiat </w:t>
            </w:r>
            <w:r>
              <w:rPr>
                <w:rFonts w:ascii="Segoe UI" w:hAnsi="Segoe UI" w:cs="Segoe UI"/>
                <w:color w:val="000000"/>
              </w:rPr>
              <w:lastRenderedPageBreak/>
              <w:t>cu angajatorul un acord referitor la obligația declarării și plșții contribuțiilor sociale obligatorii.</w:t>
            </w:r>
            <w:proofErr w:type="gramEnd"/>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25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Decontului de taxă pe valoarea adăugată - </w:t>
            </w:r>
            <w:hyperlink r:id="rId34" w:history="1">
              <w:r w:rsidRPr="009A365F">
                <w:rPr>
                  <w:rStyle w:val="Hyperlink"/>
                  <w:rFonts w:ascii="Segoe UI" w:hAnsi="Segoe UI" w:cs="Segoe UI"/>
                  <w:b/>
                </w:rPr>
                <w:t>Formularul 300</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nr.227/2015</w:t>
            </w:r>
            <w:r>
              <w:rPr>
                <w:rFonts w:ascii="Segoe UI" w:hAnsi="Segoe UI" w:cs="Segoe UI"/>
                <w:color w:val="000000"/>
              </w:rPr>
              <w:br/>
              <w:t>Lunar, trimestrial, semestrial, anual, altă dată- după caz (vezi instrucțiunile de completare din formular)</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25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 xml:space="preserve">Depunerea Decontului special de taxa pe valoarea adăugată pentru luna precedentă </w:t>
            </w:r>
            <w:r w:rsidRPr="009A365F">
              <w:rPr>
                <w:rFonts w:ascii="Segoe UI" w:hAnsi="Segoe UI" w:cs="Segoe UI"/>
                <w:b/>
                <w:color w:val="000000"/>
              </w:rPr>
              <w:t>- </w:t>
            </w:r>
            <w:hyperlink r:id="rId35" w:history="1">
              <w:r w:rsidRPr="009A365F">
                <w:rPr>
                  <w:rStyle w:val="Hyperlink"/>
                  <w:rFonts w:ascii="Segoe UI" w:hAnsi="Segoe UI" w:cs="Segoe UI"/>
                  <w:b/>
                </w:rPr>
                <w:t>Formularul 301</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Persoanele menționate în instrucțiunile de completare a formularului, pentru fiecare secțiune.</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25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Declarației privind sumele rezultate din ajustarea taxei pe valoarea adăugată - </w:t>
            </w:r>
            <w:hyperlink r:id="rId36" w:history="1">
              <w:r w:rsidRPr="009A365F">
                <w:rPr>
                  <w:rStyle w:val="Hyperlink"/>
                  <w:rFonts w:ascii="Segoe UI" w:hAnsi="Segoe UI" w:cs="Segoe UI"/>
                  <w:b/>
                </w:rPr>
                <w:t>Formularul 307</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Persoanele impozabile prevăzute la art.280 alin.(6), art.270 alin.(7), art.310 alin.(7), art.316 alin.(11) lit.a) - e), g) sau h) din Legea nr.227/2015</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25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 xml:space="preserve">Depunerea Declarației privind taxa pe valoarea adăugată datorată de către persoanele impozabile al căror cod de înregistrare în scopuri de taxă pe valoarea adăugată a fost anulat conform art.316 alin. (11) </w:t>
            </w:r>
            <w:proofErr w:type="gramStart"/>
            <w:r>
              <w:rPr>
                <w:rFonts w:ascii="Segoe UI" w:hAnsi="Segoe UI" w:cs="Segoe UI"/>
                <w:color w:val="000000"/>
              </w:rPr>
              <w:t>lit</w:t>
            </w:r>
            <w:proofErr w:type="gramEnd"/>
            <w:r>
              <w:rPr>
                <w:rFonts w:ascii="Segoe UI" w:hAnsi="Segoe UI" w:cs="Segoe UI"/>
                <w:color w:val="000000"/>
              </w:rPr>
              <w:t xml:space="preserve">. a) - e), lit. g) </w:t>
            </w:r>
            <w:proofErr w:type="gramStart"/>
            <w:r>
              <w:rPr>
                <w:rFonts w:ascii="Segoe UI" w:hAnsi="Segoe UI" w:cs="Segoe UI"/>
                <w:color w:val="000000"/>
              </w:rPr>
              <w:t>sau</w:t>
            </w:r>
            <w:proofErr w:type="gramEnd"/>
            <w:r>
              <w:rPr>
                <w:rFonts w:ascii="Segoe UI" w:hAnsi="Segoe UI" w:cs="Segoe UI"/>
                <w:color w:val="000000"/>
              </w:rPr>
              <w:t xml:space="preserve"> lit. h) din Legea 227/2015 privind Codul fiscal - </w:t>
            </w:r>
            <w:hyperlink r:id="rId37" w:history="1">
              <w:r w:rsidRPr="009A365F">
                <w:rPr>
                  <w:rStyle w:val="Hyperlink"/>
                  <w:rFonts w:ascii="Segoe UI" w:hAnsi="Segoe UI" w:cs="Segoe UI"/>
                  <w:b/>
                </w:rPr>
                <w:t>Formularul 311</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 xml:space="preserve">Persoanele impozabile al căror cod de TVA a fost anulat conf. Art. 316 alin. (11) </w:t>
            </w:r>
            <w:proofErr w:type="gramStart"/>
            <w:r>
              <w:rPr>
                <w:rFonts w:ascii="Segoe UI" w:hAnsi="Segoe UI" w:cs="Segoe UI"/>
                <w:color w:val="000000"/>
              </w:rPr>
              <w:t>lit</w:t>
            </w:r>
            <w:proofErr w:type="gramEnd"/>
            <w:r>
              <w:rPr>
                <w:rFonts w:ascii="Segoe UI" w:hAnsi="Segoe UI" w:cs="Segoe UI"/>
                <w:color w:val="000000"/>
              </w:rPr>
              <w:t xml:space="preserve">. a) - e), lit. g) </w:t>
            </w:r>
            <w:proofErr w:type="gramStart"/>
            <w:r>
              <w:rPr>
                <w:rFonts w:ascii="Segoe UI" w:hAnsi="Segoe UI" w:cs="Segoe UI"/>
                <w:color w:val="000000"/>
              </w:rPr>
              <w:t>sau</w:t>
            </w:r>
            <w:proofErr w:type="gramEnd"/>
            <w:r>
              <w:rPr>
                <w:rFonts w:ascii="Segoe UI" w:hAnsi="Segoe UI" w:cs="Segoe UI"/>
                <w:color w:val="000000"/>
              </w:rPr>
              <w:t xml:space="preserve"> lit. h) din Legea nr.227/2015 și care efectuează în perioada în care nu au cod valid de TVA, livrări și/sau achiziții /prestări de bunuri/ servicii care sunt obligate la plata TVA</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25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Declarației recapitulative privind livrările/achizițiile/prestările intracomunitare de bunuri pentru luna precedentă - </w:t>
            </w:r>
            <w:hyperlink r:id="rId38" w:history="1">
              <w:r w:rsidRPr="009A365F">
                <w:rPr>
                  <w:rStyle w:val="Hyperlink"/>
                  <w:rFonts w:ascii="Segoe UI" w:hAnsi="Segoe UI" w:cs="Segoe UI"/>
                  <w:b/>
                </w:rPr>
                <w:t>Formularul 390 VIES</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Contribuabilii înregistrați în scopuri de TVA conform art. 316 sau art.317 din Legea nr.227/2015</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25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notificării pentru încetarea aplicării sistemului TVA la încasare - </w:t>
            </w:r>
            <w:hyperlink r:id="rId39" w:history="1">
              <w:r w:rsidRPr="009A365F">
                <w:rPr>
                  <w:rStyle w:val="Hyperlink"/>
                  <w:rFonts w:ascii="Segoe UI" w:hAnsi="Segoe UI" w:cs="Segoe UI"/>
                  <w:b/>
                </w:rPr>
                <w:t>Formularul 097</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Persoanele impozabile care depășesc plafonul de 2.250.000 lei</w:t>
            </w:r>
            <w:proofErr w:type="gramStart"/>
            <w:r>
              <w:rPr>
                <w:rFonts w:ascii="Segoe UI" w:hAnsi="Segoe UI" w:cs="Segoe UI"/>
                <w:color w:val="000000"/>
              </w:rPr>
              <w:t>;</w:t>
            </w:r>
            <w:proofErr w:type="gramEnd"/>
            <w:r>
              <w:rPr>
                <w:rFonts w:ascii="Segoe UI" w:hAnsi="Segoe UI" w:cs="Segoe UI"/>
                <w:color w:val="000000"/>
              </w:rPr>
              <w:br/>
            </w:r>
            <w:r>
              <w:rPr>
                <w:rFonts w:ascii="Segoe UI" w:hAnsi="Segoe UI" w:cs="Segoe UI"/>
                <w:color w:val="000000"/>
              </w:rPr>
              <w:lastRenderedPageBreak/>
              <w:t>Persoanele impozabile care renunță la aplicarea sistemului TVA la încasare.</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25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proofErr w:type="gramStart"/>
            <w:r>
              <w:rPr>
                <w:rFonts w:ascii="Segoe UI" w:hAnsi="Segoe UI" w:cs="Segoe UI"/>
                <w:color w:val="000000"/>
              </w:rPr>
              <w:t>Plata taxei anuale pentru autorizația de exploatare a jocurilor de noroc (sumele care rezultă din aplicarea procentelor prevăzute în anexă la veniturile estimate de operatorul economic, dar nu mai puțin decât taxa anuală minimală - până la data de 25 inclusiv a lunii următoare celei în care documentația a fost aprobată; în cazul în care, în cursul anului de autorizare, încasările efective depășesc încasările estimate prin documentația prezentată la data autorizării, taxa se va recalcula prin aplicarea cotei procentuale asupra încasărilor efective cumulate de la începutul perioadei de autorizare.</w:t>
            </w:r>
            <w:proofErr w:type="gramEnd"/>
            <w:r>
              <w:rPr>
                <w:rFonts w:ascii="Segoe UI" w:hAnsi="Segoe UI" w:cs="Segoe UI"/>
                <w:color w:val="000000"/>
              </w:rPr>
              <w:t xml:space="preserve"> Recalcularea se va efectua lunar, începând cu prima lună în care se înregistrează depășirea rezultatelor estimate. Încasările efective cumulate și taxa plătită de la începutul perioadei de autorizare până la finele lunii precedente celei pentru care se face regularizarea se va declara și plăti până la data de 25 a lunii următoare)</w:t>
            </w:r>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Organizatorii de jocuri de tip pariu, jocuri de noroc, bingo organizate prin TV, pariuri on-line, jocuri bingo prin internet, sisteme de telefonie fixă sau mobilă, jocuri de noroc on-line.</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jc w:val="center"/>
              <w:rPr>
                <w:rFonts w:ascii="Segoe UI" w:hAnsi="Segoe UI" w:cs="Segoe UI"/>
                <w:b/>
                <w:bCs/>
                <w:color w:val="009933"/>
                <w:sz w:val="24"/>
                <w:szCs w:val="24"/>
              </w:rPr>
            </w:pPr>
            <w:r>
              <w:rPr>
                <w:rFonts w:ascii="Segoe UI" w:hAnsi="Segoe UI" w:cs="Segoe UI"/>
                <w:b/>
                <w:bCs/>
                <w:color w:val="009933"/>
              </w:rPr>
              <w:t>28 iunie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Depunerea Cererii de restituire a accizelor în baza prevederilor art.395 din Codul fiscal - </w:t>
            </w:r>
            <w:hyperlink r:id="rId40" w:history="1">
              <w:r>
                <w:rPr>
                  <w:rStyle w:val="Hyperlink"/>
                  <w:rFonts w:ascii="Segoe UI" w:hAnsi="Segoe UI" w:cs="Segoe UI"/>
                </w:rPr>
                <w:t>(Anexa nr.27 din normele metodologice de aplicare a prevederilor titlului VIII din Codul fiscal)</w:t>
              </w:r>
            </w:hyperlink>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A365F" w:rsidRDefault="009A365F">
            <w:pPr>
              <w:spacing w:line="252" w:lineRule="atLeast"/>
              <w:rPr>
                <w:rFonts w:ascii="Segoe UI" w:hAnsi="Segoe UI" w:cs="Segoe UI"/>
                <w:color w:val="000000"/>
              </w:rPr>
            </w:pPr>
            <w:r>
              <w:rPr>
                <w:rFonts w:ascii="Segoe UI" w:hAnsi="Segoe UI" w:cs="Segoe UI"/>
                <w:color w:val="000000"/>
              </w:rPr>
              <w:t>Beneficiarii scutirilor de accize (instituții, organizații)</w:t>
            </w:r>
          </w:p>
        </w:tc>
      </w:tr>
      <w:tr w:rsidR="009A365F" w:rsidTr="009A365F">
        <w:trPr>
          <w:tblCellSpacing w:w="15" w:type="dxa"/>
          <w:jc w:val="center"/>
        </w:trPr>
        <w:tc>
          <w:tcPr>
            <w:tcW w:w="1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9A365F" w:rsidRDefault="009A365F">
            <w:pPr>
              <w:spacing w:line="252" w:lineRule="atLeast"/>
              <w:jc w:val="center"/>
              <w:rPr>
                <w:rFonts w:ascii="Segoe UI" w:hAnsi="Segoe UI" w:cs="Segoe UI"/>
                <w:b/>
                <w:bCs/>
                <w:color w:val="009933"/>
              </w:rPr>
            </w:pPr>
            <w:r>
              <w:rPr>
                <w:rFonts w:ascii="Segoe UI" w:hAnsi="Segoe UI" w:cs="Segoe UI"/>
                <w:b/>
                <w:bCs/>
                <w:color w:val="009933"/>
              </w:rPr>
              <w:t>1 iulie</w:t>
            </w:r>
          </w:p>
        </w:tc>
        <w:tc>
          <w:tcPr>
            <w:tcW w:w="5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9A365F" w:rsidRDefault="009A365F">
            <w:pPr>
              <w:spacing w:line="252" w:lineRule="atLeast"/>
              <w:rPr>
                <w:b/>
              </w:rPr>
            </w:pPr>
            <w:r>
              <w:rPr>
                <w:rFonts w:ascii="Segoe UI" w:hAnsi="Segoe UI" w:cs="Segoe UI"/>
                <w:color w:val="000000"/>
                <w:shd w:val="clear" w:color="auto" w:fill="ECF5FF"/>
              </w:rPr>
              <w:t>Depunerea Declarației informative privind livrările/prestările și achizițiile efectuate pe teritoriul național aferente perioadei de raportare precedente (luna, trim. etc. ; perioada de raportare este cea declarată pentru depunerea decontului de TVA, prevăzută la art.322 din Legea nr.227/2015) - </w:t>
            </w:r>
            <w:hyperlink r:id="rId41" w:history="1">
              <w:r w:rsidRPr="009A365F">
                <w:rPr>
                  <w:rStyle w:val="Hyperlink"/>
                  <w:rFonts w:ascii="Segoe UI" w:hAnsi="Segoe UI" w:cs="Segoe UI"/>
                  <w:b/>
                  <w:shd w:val="clear" w:color="auto" w:fill="ECF5FF"/>
                </w:rPr>
                <w:t>Formularul 394</w:t>
              </w:r>
            </w:hyperlink>
          </w:p>
          <w:p w:rsidR="009A365F" w:rsidRDefault="009A365F">
            <w:pPr>
              <w:spacing w:line="252" w:lineRule="atLeast"/>
              <w:rPr>
                <w:b/>
              </w:rPr>
            </w:pPr>
          </w:p>
          <w:p w:rsidR="009A365F" w:rsidRDefault="009A365F">
            <w:pPr>
              <w:spacing w:line="252" w:lineRule="atLeast"/>
              <w:rPr>
                <w:rFonts w:ascii="Segoe UI" w:hAnsi="Segoe UI" w:cs="Segoe UI"/>
                <w:color w:val="000000"/>
              </w:rPr>
            </w:pPr>
            <w:r>
              <w:rPr>
                <w:b/>
              </w:rPr>
              <w:t>(pentru luna mai 2019)</w:t>
            </w:r>
            <w:bookmarkStart w:id="0" w:name="_GoBack"/>
            <w:bookmarkEnd w:id="0"/>
          </w:p>
        </w:tc>
        <w:tc>
          <w:tcPr>
            <w:tcW w:w="35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9A365F" w:rsidRDefault="009A365F">
            <w:pPr>
              <w:spacing w:line="252" w:lineRule="atLeast"/>
              <w:rPr>
                <w:rFonts w:ascii="Segoe UI" w:hAnsi="Segoe UI" w:cs="Segoe UI"/>
                <w:color w:val="000000"/>
              </w:rPr>
            </w:pPr>
            <w:r>
              <w:rPr>
                <w:rFonts w:ascii="Segoe UI" w:hAnsi="Segoe UI" w:cs="Segoe UI"/>
                <w:color w:val="000000"/>
                <w:shd w:val="clear" w:color="auto" w:fill="ECF5FF"/>
              </w:rPr>
              <w:t>Persoanele impozabile înregistrate în scopuri de TVA în România, conform art.316 din Legea nr.227/2015, obligate la plata taxei conform art. 307 alin</w:t>
            </w:r>
            <w:proofErr w:type="gramStart"/>
            <w:r>
              <w:rPr>
                <w:rFonts w:ascii="Segoe UI" w:hAnsi="Segoe UI" w:cs="Segoe UI"/>
                <w:color w:val="000000"/>
                <w:shd w:val="clear" w:color="auto" w:fill="ECF5FF"/>
              </w:rPr>
              <w:t>.(</w:t>
            </w:r>
            <w:proofErr w:type="gramEnd"/>
            <w:r>
              <w:rPr>
                <w:rFonts w:ascii="Segoe UI" w:hAnsi="Segoe UI" w:cs="Segoe UI"/>
                <w:color w:val="000000"/>
                <w:shd w:val="clear" w:color="auto" w:fill="ECF5FF"/>
              </w:rPr>
              <w:t>1), (2), (6) și (7) din Legea nr.227/2015, pentru operațiuni impozabile în România conform art.268 alin.(1) din Legea nr.227/2015.</w:t>
            </w:r>
            <w:r>
              <w:rPr>
                <w:rFonts w:ascii="Segoe UI" w:hAnsi="Segoe UI" w:cs="Segoe UI"/>
                <w:color w:val="000000"/>
              </w:rPr>
              <w:br/>
            </w:r>
            <w:r>
              <w:rPr>
                <w:rFonts w:ascii="Segoe UI" w:hAnsi="Segoe UI" w:cs="Segoe UI"/>
                <w:color w:val="000000"/>
                <w:shd w:val="clear" w:color="auto" w:fill="ECF5FF"/>
              </w:rPr>
              <w:t xml:space="preserve">Persoanele impozabile înregistrate în scopuri de TVA în România, conform art.316 din Legea nr.227/2015, care realizează </w:t>
            </w:r>
            <w:r>
              <w:rPr>
                <w:rFonts w:ascii="Segoe UI" w:hAnsi="Segoe UI" w:cs="Segoe UI"/>
                <w:color w:val="000000"/>
                <w:shd w:val="clear" w:color="auto" w:fill="ECF5FF"/>
              </w:rPr>
              <w:lastRenderedPageBreak/>
              <w:t>în România, de la persoanele impozabile înregistrate în scopuri de TVA în România, achiziții de bunuri sau servicii taxabile.</w:t>
            </w:r>
          </w:p>
        </w:tc>
      </w:tr>
    </w:tbl>
    <w:p w:rsidR="001B059B" w:rsidRDefault="001B059B"/>
    <w:sectPr w:rsidR="001B0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53FB"/>
    <w:multiLevelType w:val="hybridMultilevel"/>
    <w:tmpl w:val="3278B762"/>
    <w:lvl w:ilvl="0" w:tplc="5D087B9A">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108A9"/>
    <w:multiLevelType w:val="hybridMultilevel"/>
    <w:tmpl w:val="B3EAA126"/>
    <w:lvl w:ilvl="0" w:tplc="55A03E1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2272D8"/>
    <w:multiLevelType w:val="hybridMultilevel"/>
    <w:tmpl w:val="D71A7BD8"/>
    <w:lvl w:ilvl="0" w:tplc="9A229260">
      <w:start w:val="16"/>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A3"/>
    <w:rsid w:val="0006550A"/>
    <w:rsid w:val="0007649F"/>
    <w:rsid w:val="000C7D45"/>
    <w:rsid w:val="001112F3"/>
    <w:rsid w:val="001174F5"/>
    <w:rsid w:val="001B059B"/>
    <w:rsid w:val="001B7AA8"/>
    <w:rsid w:val="001D0EB4"/>
    <w:rsid w:val="002447E0"/>
    <w:rsid w:val="003727A5"/>
    <w:rsid w:val="004C19AC"/>
    <w:rsid w:val="0061169C"/>
    <w:rsid w:val="00613F29"/>
    <w:rsid w:val="006625C6"/>
    <w:rsid w:val="006817E9"/>
    <w:rsid w:val="006E7C9F"/>
    <w:rsid w:val="00800348"/>
    <w:rsid w:val="00807B3C"/>
    <w:rsid w:val="0089006B"/>
    <w:rsid w:val="0097000F"/>
    <w:rsid w:val="009A365F"/>
    <w:rsid w:val="00A05039"/>
    <w:rsid w:val="00A7656D"/>
    <w:rsid w:val="00B564A3"/>
    <w:rsid w:val="00B97FBE"/>
    <w:rsid w:val="00C34587"/>
    <w:rsid w:val="00D130CF"/>
    <w:rsid w:val="00DB3684"/>
    <w:rsid w:val="00E53080"/>
    <w:rsid w:val="00E7490B"/>
    <w:rsid w:val="00E95509"/>
    <w:rsid w:val="00FA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E517"/>
  <w15:chartTrackingRefBased/>
  <w15:docId w15:val="{C13E5D51-CE9F-400A-967C-7027B22C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4A3"/>
    <w:rPr>
      <w:color w:val="0000FF"/>
      <w:u w:val="single"/>
    </w:rPr>
  </w:style>
  <w:style w:type="character" w:styleId="Strong">
    <w:name w:val="Strong"/>
    <w:basedOn w:val="DefaultParagraphFont"/>
    <w:uiPriority w:val="22"/>
    <w:qFormat/>
    <w:rsid w:val="00B564A3"/>
    <w:rPr>
      <w:b/>
      <w:bCs/>
    </w:rPr>
  </w:style>
  <w:style w:type="character" w:styleId="CommentReference">
    <w:name w:val="annotation reference"/>
    <w:basedOn w:val="DefaultParagraphFont"/>
    <w:uiPriority w:val="99"/>
    <w:semiHidden/>
    <w:unhideWhenUsed/>
    <w:rsid w:val="00DB3684"/>
    <w:rPr>
      <w:sz w:val="16"/>
      <w:szCs w:val="16"/>
    </w:rPr>
  </w:style>
  <w:style w:type="paragraph" w:styleId="CommentText">
    <w:name w:val="annotation text"/>
    <w:basedOn w:val="Normal"/>
    <w:link w:val="CommentTextChar"/>
    <w:uiPriority w:val="99"/>
    <w:semiHidden/>
    <w:unhideWhenUsed/>
    <w:rsid w:val="00DB3684"/>
    <w:pPr>
      <w:spacing w:line="240" w:lineRule="auto"/>
    </w:pPr>
    <w:rPr>
      <w:sz w:val="20"/>
      <w:szCs w:val="20"/>
    </w:rPr>
  </w:style>
  <w:style w:type="character" w:customStyle="1" w:styleId="CommentTextChar">
    <w:name w:val="Comment Text Char"/>
    <w:basedOn w:val="DefaultParagraphFont"/>
    <w:link w:val="CommentText"/>
    <w:uiPriority w:val="99"/>
    <w:semiHidden/>
    <w:rsid w:val="00DB3684"/>
    <w:rPr>
      <w:sz w:val="20"/>
      <w:szCs w:val="20"/>
    </w:rPr>
  </w:style>
  <w:style w:type="paragraph" w:styleId="CommentSubject">
    <w:name w:val="annotation subject"/>
    <w:basedOn w:val="CommentText"/>
    <w:next w:val="CommentText"/>
    <w:link w:val="CommentSubjectChar"/>
    <w:uiPriority w:val="99"/>
    <w:semiHidden/>
    <w:unhideWhenUsed/>
    <w:rsid w:val="00DB3684"/>
    <w:rPr>
      <w:b/>
      <w:bCs/>
    </w:rPr>
  </w:style>
  <w:style w:type="character" w:customStyle="1" w:styleId="CommentSubjectChar">
    <w:name w:val="Comment Subject Char"/>
    <w:basedOn w:val="CommentTextChar"/>
    <w:link w:val="CommentSubject"/>
    <w:uiPriority w:val="99"/>
    <w:semiHidden/>
    <w:rsid w:val="00DB3684"/>
    <w:rPr>
      <w:b/>
      <w:bCs/>
      <w:sz w:val="20"/>
      <w:szCs w:val="20"/>
    </w:rPr>
  </w:style>
  <w:style w:type="paragraph" w:styleId="BalloonText">
    <w:name w:val="Balloon Text"/>
    <w:basedOn w:val="Normal"/>
    <w:link w:val="BalloonTextChar"/>
    <w:uiPriority w:val="99"/>
    <w:semiHidden/>
    <w:unhideWhenUsed/>
    <w:rsid w:val="00DB3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684"/>
    <w:rPr>
      <w:rFonts w:ascii="Segoe UI" w:hAnsi="Segoe UI" w:cs="Segoe UI"/>
      <w:sz w:val="18"/>
      <w:szCs w:val="18"/>
    </w:rPr>
  </w:style>
  <w:style w:type="paragraph" w:styleId="ListParagraph">
    <w:name w:val="List Paragraph"/>
    <w:basedOn w:val="Normal"/>
    <w:uiPriority w:val="34"/>
    <w:qFormat/>
    <w:rsid w:val="00A76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87189">
      <w:bodyDiv w:val="1"/>
      <w:marLeft w:val="0"/>
      <w:marRight w:val="0"/>
      <w:marTop w:val="0"/>
      <w:marBottom w:val="0"/>
      <w:divBdr>
        <w:top w:val="none" w:sz="0" w:space="0" w:color="auto"/>
        <w:left w:val="none" w:sz="0" w:space="0" w:color="auto"/>
        <w:bottom w:val="none" w:sz="0" w:space="0" w:color="auto"/>
        <w:right w:val="none" w:sz="0" w:space="0" w:color="auto"/>
      </w:divBdr>
    </w:div>
    <w:div w:id="513112333">
      <w:bodyDiv w:val="1"/>
      <w:marLeft w:val="0"/>
      <w:marRight w:val="0"/>
      <w:marTop w:val="0"/>
      <w:marBottom w:val="0"/>
      <w:divBdr>
        <w:top w:val="none" w:sz="0" w:space="0" w:color="auto"/>
        <w:left w:val="none" w:sz="0" w:space="0" w:color="auto"/>
        <w:bottom w:val="none" w:sz="0" w:space="0" w:color="auto"/>
        <w:right w:val="none" w:sz="0" w:space="0" w:color="auto"/>
      </w:divBdr>
    </w:div>
    <w:div w:id="721371272">
      <w:bodyDiv w:val="1"/>
      <w:marLeft w:val="0"/>
      <w:marRight w:val="0"/>
      <w:marTop w:val="0"/>
      <w:marBottom w:val="0"/>
      <w:divBdr>
        <w:top w:val="none" w:sz="0" w:space="0" w:color="auto"/>
        <w:left w:val="none" w:sz="0" w:space="0" w:color="auto"/>
        <w:bottom w:val="none" w:sz="0" w:space="0" w:color="auto"/>
        <w:right w:val="none" w:sz="0" w:space="0" w:color="auto"/>
      </w:divBdr>
    </w:div>
    <w:div w:id="909853834">
      <w:bodyDiv w:val="1"/>
      <w:marLeft w:val="0"/>
      <w:marRight w:val="0"/>
      <w:marTop w:val="0"/>
      <w:marBottom w:val="0"/>
      <w:divBdr>
        <w:top w:val="none" w:sz="0" w:space="0" w:color="auto"/>
        <w:left w:val="none" w:sz="0" w:space="0" w:color="auto"/>
        <w:bottom w:val="none" w:sz="0" w:space="0" w:color="auto"/>
        <w:right w:val="none" w:sz="0" w:space="0" w:color="auto"/>
      </w:divBdr>
    </w:div>
    <w:div w:id="929119131">
      <w:bodyDiv w:val="1"/>
      <w:marLeft w:val="0"/>
      <w:marRight w:val="0"/>
      <w:marTop w:val="0"/>
      <w:marBottom w:val="0"/>
      <w:divBdr>
        <w:top w:val="none" w:sz="0" w:space="0" w:color="auto"/>
        <w:left w:val="none" w:sz="0" w:space="0" w:color="auto"/>
        <w:bottom w:val="none" w:sz="0" w:space="0" w:color="auto"/>
        <w:right w:val="none" w:sz="0" w:space="0" w:color="auto"/>
      </w:divBdr>
    </w:div>
    <w:div w:id="1176260773">
      <w:bodyDiv w:val="1"/>
      <w:marLeft w:val="0"/>
      <w:marRight w:val="0"/>
      <w:marTop w:val="0"/>
      <w:marBottom w:val="0"/>
      <w:divBdr>
        <w:top w:val="none" w:sz="0" w:space="0" w:color="auto"/>
        <w:left w:val="none" w:sz="0" w:space="0" w:color="auto"/>
        <w:bottom w:val="none" w:sz="0" w:space="0" w:color="auto"/>
        <w:right w:val="none" w:sz="0" w:space="0" w:color="auto"/>
      </w:divBdr>
    </w:div>
    <w:div w:id="1180699491">
      <w:bodyDiv w:val="1"/>
      <w:marLeft w:val="0"/>
      <w:marRight w:val="0"/>
      <w:marTop w:val="0"/>
      <w:marBottom w:val="0"/>
      <w:divBdr>
        <w:top w:val="none" w:sz="0" w:space="0" w:color="auto"/>
        <w:left w:val="none" w:sz="0" w:space="0" w:color="auto"/>
        <w:bottom w:val="none" w:sz="0" w:space="0" w:color="auto"/>
        <w:right w:val="none" w:sz="0" w:space="0" w:color="auto"/>
      </w:divBdr>
    </w:div>
    <w:div w:id="1280063595">
      <w:bodyDiv w:val="1"/>
      <w:marLeft w:val="0"/>
      <w:marRight w:val="0"/>
      <w:marTop w:val="0"/>
      <w:marBottom w:val="0"/>
      <w:divBdr>
        <w:top w:val="none" w:sz="0" w:space="0" w:color="auto"/>
        <w:left w:val="none" w:sz="0" w:space="0" w:color="auto"/>
        <w:bottom w:val="none" w:sz="0" w:space="0" w:color="auto"/>
        <w:right w:val="none" w:sz="0" w:space="0" w:color="auto"/>
      </w:divBdr>
    </w:div>
    <w:div w:id="1394155620">
      <w:bodyDiv w:val="1"/>
      <w:marLeft w:val="0"/>
      <w:marRight w:val="0"/>
      <w:marTop w:val="0"/>
      <w:marBottom w:val="0"/>
      <w:divBdr>
        <w:top w:val="none" w:sz="0" w:space="0" w:color="auto"/>
        <w:left w:val="none" w:sz="0" w:space="0" w:color="auto"/>
        <w:bottom w:val="none" w:sz="0" w:space="0" w:color="auto"/>
        <w:right w:val="none" w:sz="0" w:space="0" w:color="auto"/>
      </w:divBdr>
    </w:div>
    <w:div w:id="1487668009">
      <w:bodyDiv w:val="1"/>
      <w:marLeft w:val="0"/>
      <w:marRight w:val="0"/>
      <w:marTop w:val="0"/>
      <w:marBottom w:val="0"/>
      <w:divBdr>
        <w:top w:val="none" w:sz="0" w:space="0" w:color="auto"/>
        <w:left w:val="none" w:sz="0" w:space="0" w:color="auto"/>
        <w:bottom w:val="none" w:sz="0" w:space="0" w:color="auto"/>
        <w:right w:val="none" w:sz="0" w:space="0" w:color="auto"/>
      </w:divBdr>
    </w:div>
    <w:div w:id="1592468083">
      <w:bodyDiv w:val="1"/>
      <w:marLeft w:val="0"/>
      <w:marRight w:val="0"/>
      <w:marTop w:val="0"/>
      <w:marBottom w:val="0"/>
      <w:divBdr>
        <w:top w:val="none" w:sz="0" w:space="0" w:color="auto"/>
        <w:left w:val="none" w:sz="0" w:space="0" w:color="auto"/>
        <w:bottom w:val="none" w:sz="0" w:space="0" w:color="auto"/>
        <w:right w:val="none" w:sz="0" w:space="0" w:color="auto"/>
      </w:divBdr>
    </w:div>
    <w:div w:id="1878085092">
      <w:bodyDiv w:val="1"/>
      <w:marLeft w:val="0"/>
      <w:marRight w:val="0"/>
      <w:marTop w:val="0"/>
      <w:marBottom w:val="0"/>
      <w:divBdr>
        <w:top w:val="none" w:sz="0" w:space="0" w:color="auto"/>
        <w:left w:val="none" w:sz="0" w:space="0" w:color="auto"/>
        <w:bottom w:val="none" w:sz="0" w:space="0" w:color="auto"/>
        <w:right w:val="none" w:sz="0" w:space="0" w:color="auto"/>
      </w:divBdr>
    </w:div>
    <w:div w:id="1977442863">
      <w:bodyDiv w:val="1"/>
      <w:marLeft w:val="0"/>
      <w:marRight w:val="0"/>
      <w:marTop w:val="0"/>
      <w:marBottom w:val="0"/>
      <w:divBdr>
        <w:top w:val="none" w:sz="0" w:space="0" w:color="auto"/>
        <w:left w:val="none" w:sz="0" w:space="0" w:color="auto"/>
        <w:bottom w:val="none" w:sz="0" w:space="0" w:color="auto"/>
        <w:right w:val="none" w:sz="0" w:space="0" w:color="auto"/>
      </w:divBdr>
    </w:div>
    <w:div w:id="214584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af.ro/anaf/internet/ANAF/asistenta_contribuabili/toate_formularele_cu_explicatii/" TargetMode="External"/><Relationship Id="rId18" Type="http://schemas.openxmlformats.org/officeDocument/2006/relationships/hyperlink" Target="https://www.anaf.ro/anaf/internet/ANAF/asistenta_contribuabili/toate_formularele_cu_explicatii/" TargetMode="External"/><Relationship Id="rId26" Type="http://schemas.openxmlformats.org/officeDocument/2006/relationships/hyperlink" Target="https://www.anaf.ro/anaf/internet/ANAF/asistenta_contribuabili/toate_formularele_cu_explicatii/" TargetMode="External"/><Relationship Id="rId39" Type="http://schemas.openxmlformats.org/officeDocument/2006/relationships/hyperlink" Target="https://www.anaf.ro/anaf/internet/ANAF/asistenta_contribuabili/toate_formularele_cu_explicatii/" TargetMode="External"/><Relationship Id="rId21" Type="http://schemas.openxmlformats.org/officeDocument/2006/relationships/hyperlink" Target="https://www.anaf.ro/anaf/internet/ANAF/asistenta_contribuabili/toate_formularele_cu_explicatii/" TargetMode="External"/><Relationship Id="rId34" Type="http://schemas.openxmlformats.org/officeDocument/2006/relationships/hyperlink" Target="https://www.anaf.ro/anaf/internet/ANAF/asistenta_contribuabili/toate_formularele_cu_explicatii/" TargetMode="External"/><Relationship Id="rId42" Type="http://schemas.openxmlformats.org/officeDocument/2006/relationships/fontTable" Target="fontTable.xml"/><Relationship Id="rId7" Type="http://schemas.openxmlformats.org/officeDocument/2006/relationships/hyperlink" Target="https://www.anaf.ro/anaf/internet/ANAF/asistenta_contribuabili/toate_formularele_cu_explicatii/" TargetMode="External"/><Relationship Id="rId2" Type="http://schemas.openxmlformats.org/officeDocument/2006/relationships/styles" Target="styles.xml"/><Relationship Id="rId16" Type="http://schemas.openxmlformats.org/officeDocument/2006/relationships/hyperlink" Target="https://www.anaf.ro/anaf/internet/ANAF/asistenta_contribuabili/toate_formularele_cu_explicatii/" TargetMode="External"/><Relationship Id="rId20" Type="http://schemas.openxmlformats.org/officeDocument/2006/relationships/hyperlink" Target="https://www.anaf.ro/anaf/internet/ANAF/asistenta_contribuabili/toate_formularele_cu_explicatii/" TargetMode="External"/><Relationship Id="rId29" Type="http://schemas.openxmlformats.org/officeDocument/2006/relationships/hyperlink" Target="https://www.anaf.ro/anaf/internet/ANAF/asistenta_contribuabili/toate_formularele_cu_explicatii/" TargetMode="External"/><Relationship Id="rId41" Type="http://schemas.openxmlformats.org/officeDocument/2006/relationships/hyperlink" Target="https://www.anaf.ro/anaf/internet/ANAF/asistenta_contribuabili/toate_formularele_cu_explicatii/" TargetMode="External"/><Relationship Id="rId1" Type="http://schemas.openxmlformats.org/officeDocument/2006/relationships/numbering" Target="numbering.xml"/><Relationship Id="rId6" Type="http://schemas.openxmlformats.org/officeDocument/2006/relationships/hyperlink" Target="https://www.anaf.ro/anaf/internet/ANAF/asistenta_contribuabili/toate_formularele_cu_explicatii/" TargetMode="External"/><Relationship Id="rId11" Type="http://schemas.openxmlformats.org/officeDocument/2006/relationships/hyperlink" Target="https://www.anaf.ro/anaf/internet/ANAF/asistenta_contribuabili/toate_formularele_cu_explicatii/" TargetMode="External"/><Relationship Id="rId24" Type="http://schemas.openxmlformats.org/officeDocument/2006/relationships/hyperlink" Target="https://www.anaf.ro/anaf/internet/ANAF/asistenta_contribuabili/toate_formularele_cu_explicatii/" TargetMode="External"/><Relationship Id="rId32" Type="http://schemas.openxmlformats.org/officeDocument/2006/relationships/hyperlink" Target="https://www.anaf.ro/anaf/internet/ANAF/asistenta_contribuabili/toate_formularele_cu_explicatii/" TargetMode="External"/><Relationship Id="rId37" Type="http://schemas.openxmlformats.org/officeDocument/2006/relationships/hyperlink" Target="https://www.anaf.ro/anaf/internet/ANAF/asistenta_contribuabili/toate_formularele_cu_explicatii/" TargetMode="External"/><Relationship Id="rId40" Type="http://schemas.openxmlformats.org/officeDocument/2006/relationships/hyperlink" Target="https://www.anaf.ro/anaf/internet/ANAF/asistenta_contribuabili/toate_formularele_cu_explicatii/" TargetMode="External"/><Relationship Id="rId5" Type="http://schemas.openxmlformats.org/officeDocument/2006/relationships/hyperlink" Target="https://static.anaf.ro/static/20/Anaf/Calendar_obligatii_fiscale_2019.htm" TargetMode="External"/><Relationship Id="rId15" Type="http://schemas.openxmlformats.org/officeDocument/2006/relationships/hyperlink" Target="https://www.anaf.ro/anaf/internet/ANAF/asistenta_contribuabili/toate_formularele_cu_explicatii/" TargetMode="External"/><Relationship Id="rId23" Type="http://schemas.openxmlformats.org/officeDocument/2006/relationships/hyperlink" Target="https://www.anaf.ro/anaf/internet/ANAF/asistenta_contribuabili/toate_formularele_cu_explicatii/" TargetMode="External"/><Relationship Id="rId28" Type="http://schemas.openxmlformats.org/officeDocument/2006/relationships/hyperlink" Target="https://www.anaf.ro/anaf/internet/ANAF/asistenta_contribuabili/toate_formularele_cu_explicatii/" TargetMode="External"/><Relationship Id="rId36" Type="http://schemas.openxmlformats.org/officeDocument/2006/relationships/hyperlink" Target="https://www.anaf.ro/anaf/internet/ANAF/asistenta_contribuabili/toate_formularele_cu_explicatii/" TargetMode="External"/><Relationship Id="rId10" Type="http://schemas.openxmlformats.org/officeDocument/2006/relationships/hyperlink" Target="https://www.anaf.ro/anaf/internet/ANAF/servicii_online/declaratii_electronice/descarcare_declaratii" TargetMode="External"/><Relationship Id="rId19" Type="http://schemas.openxmlformats.org/officeDocument/2006/relationships/hyperlink" Target="https://www.anaf.ro/anaf/internet/ANAF/asistenta_contribuabili/toate_formularele_cu_explicatii/" TargetMode="External"/><Relationship Id="rId31" Type="http://schemas.openxmlformats.org/officeDocument/2006/relationships/hyperlink" Target="https://www.anaf.ro/anaf/internet/ANAF/asistenta_contribuabili/toate_formularele_cu_explicatii/" TargetMode="External"/><Relationship Id="rId4" Type="http://schemas.openxmlformats.org/officeDocument/2006/relationships/webSettings" Target="webSettings.xml"/><Relationship Id="rId9" Type="http://schemas.openxmlformats.org/officeDocument/2006/relationships/hyperlink" Target="https://www.anaf.ro/anaf/internet/ANAF/asistenta_contribuabili/toate_formularele_cu_explicatii/" TargetMode="External"/><Relationship Id="rId14" Type="http://schemas.openxmlformats.org/officeDocument/2006/relationships/hyperlink" Target="https://www.anaf.ro/anaf/internet/ANAF/asistenta_contribuabili/toate_formularele_cu_explicatii/" TargetMode="External"/><Relationship Id="rId22" Type="http://schemas.openxmlformats.org/officeDocument/2006/relationships/hyperlink" Target="https://www.anaf.ro/anaf/internet/ANAF/asistenta_contribuabili/toate_formularele_cu_explicatii/" TargetMode="External"/><Relationship Id="rId27" Type="http://schemas.openxmlformats.org/officeDocument/2006/relationships/hyperlink" Target="https://www.anaf.ro/anaf/internet/ANAF/asistenta_contribuabili/toate_formularele_cu_explicatii/" TargetMode="External"/><Relationship Id="rId30" Type="http://schemas.openxmlformats.org/officeDocument/2006/relationships/hyperlink" Target="https://www.anaf.ro/anaf/internet/ANAF/asistenta_contribuabili/toate_formularele_cu_explicatii/" TargetMode="External"/><Relationship Id="rId35" Type="http://schemas.openxmlformats.org/officeDocument/2006/relationships/hyperlink" Target="https://www.anaf.ro/anaf/internet/ANAF/asistenta_contribuabili/toate_formularele_cu_explicatii/" TargetMode="External"/><Relationship Id="rId43" Type="http://schemas.openxmlformats.org/officeDocument/2006/relationships/theme" Target="theme/theme1.xml"/><Relationship Id="rId8" Type="http://schemas.openxmlformats.org/officeDocument/2006/relationships/hyperlink" Target="https://www.anaf.ro/anaf/internet/ANAF/servicii_online/declaratii_electronice/descarcare_declaratii" TargetMode="External"/><Relationship Id="rId3" Type="http://schemas.openxmlformats.org/officeDocument/2006/relationships/settings" Target="settings.xml"/><Relationship Id="rId12" Type="http://schemas.openxmlformats.org/officeDocument/2006/relationships/hyperlink" Target="https://www.anaf.ro/anaf/internet/ANAF/servicii_online/declaratii_electronice/descarcare_declaratii" TargetMode="External"/><Relationship Id="rId17" Type="http://schemas.openxmlformats.org/officeDocument/2006/relationships/hyperlink" Target="https://www.anaf.ro/anaf/internet/ANAF/asistenta_contribuabili/toate_formularele_cu_explicatii/" TargetMode="External"/><Relationship Id="rId25" Type="http://schemas.openxmlformats.org/officeDocument/2006/relationships/hyperlink" Target="https://www.anaf.ro/anaf/internet/ANAF/asistenta_contribuabili/toate_formularele_cu_explicatii/" TargetMode="External"/><Relationship Id="rId33" Type="http://schemas.openxmlformats.org/officeDocument/2006/relationships/hyperlink" Target="https://www.anaf.ro/anaf/internet/ANAF/asistenta_contribuabili/toate_formularele_cu_explicatii/" TargetMode="External"/><Relationship Id="rId38" Type="http://schemas.openxmlformats.org/officeDocument/2006/relationships/hyperlink" Target="https://www.anaf.ro/anaf/internet/ANAF/asistenta_contribuabili/toate_formularele_cu_explicat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8</Pages>
  <Words>2739</Words>
  <Characters>15617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AlexB</dc:creator>
  <cp:keywords/>
  <dc:description/>
  <cp:lastModifiedBy>AlexB</cp:lastModifiedBy>
  <cp:revision>19</cp:revision>
  <dcterms:created xsi:type="dcterms:W3CDTF">2018-05-31T10:43:00Z</dcterms:created>
  <dcterms:modified xsi:type="dcterms:W3CDTF">2019-06-04T09:38:00Z</dcterms:modified>
</cp:coreProperties>
</file>