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DF5" w:rsidRPr="00982DF5" w:rsidRDefault="00982DF5" w:rsidP="00982DF5">
      <w:pPr>
        <w:pStyle w:val="stilparagraf"/>
        <w:spacing w:before="0" w:beforeAutospacing="0" w:after="0" w:afterAutospacing="0"/>
        <w:jc w:val="both"/>
        <w:rPr>
          <w:noProof/>
          <w:lang w:val="ro-RO"/>
        </w:rPr>
      </w:pPr>
    </w:p>
    <w:p w:rsidR="00982DF5" w:rsidRPr="00982DF5" w:rsidRDefault="00982DF5" w:rsidP="00982DF5">
      <w:pPr>
        <w:pStyle w:val="stilcapitol"/>
        <w:spacing w:before="0" w:beforeAutospacing="0" w:after="0" w:afterAutospacing="0"/>
        <w:jc w:val="both"/>
        <w:rPr>
          <w:noProof/>
          <w:lang w:val="ro-RO"/>
        </w:rPr>
      </w:pPr>
      <w:r w:rsidRPr="00982DF5">
        <w:rPr>
          <w:noProof/>
          <w:lang w:val="ro-RO"/>
        </w:rPr>
        <w:t xml:space="preserve">Conform prevederilor </w:t>
      </w:r>
      <w:r w:rsidRPr="00982DF5">
        <w:rPr>
          <w:b/>
          <w:noProof/>
          <w:lang w:val="ro-RO"/>
        </w:rPr>
        <w:t>Codului Fiscal</w:t>
      </w:r>
      <w:r w:rsidRPr="00982DF5">
        <w:rPr>
          <w:noProof/>
          <w:lang w:val="ro-RO"/>
        </w:rPr>
        <w:t xml:space="preserve">, </w:t>
      </w:r>
      <w:bookmarkStart w:id="0" w:name="T7C9"/>
      <w:bookmarkEnd w:id="0"/>
    </w:p>
    <w:p w:rsidR="00982DF5" w:rsidRDefault="00982DF5" w:rsidP="00982DF5">
      <w:pPr>
        <w:pStyle w:val="stilcapitol"/>
        <w:spacing w:before="0" w:beforeAutospacing="0" w:after="0" w:afterAutospacing="0"/>
        <w:jc w:val="both"/>
        <w:rPr>
          <w:b/>
          <w:noProof/>
          <w:lang w:val="ro-RO"/>
        </w:rPr>
      </w:pPr>
    </w:p>
    <w:p w:rsidR="00982DF5" w:rsidRPr="00982DF5" w:rsidRDefault="00982DF5" w:rsidP="00982DF5">
      <w:pPr>
        <w:pStyle w:val="stilcapitol"/>
        <w:spacing w:before="0" w:beforeAutospacing="0" w:after="0" w:afterAutospacing="0"/>
        <w:jc w:val="both"/>
        <w:rPr>
          <w:b/>
          <w:noProof/>
          <w:lang w:val="ro-RO"/>
        </w:rPr>
      </w:pPr>
      <w:r w:rsidRPr="00982DF5">
        <w:rPr>
          <w:b/>
          <w:noProof/>
          <w:lang w:val="ro-RO"/>
        </w:rPr>
        <w:t>CAPITOLUL IX - Operațiuni scutite de taxă</w:t>
      </w:r>
    </w:p>
    <w:p w:rsidR="00982DF5" w:rsidRDefault="00982DF5" w:rsidP="00982DF5">
      <w:pPr>
        <w:pStyle w:val="stilarticol"/>
        <w:spacing w:before="0" w:beforeAutospacing="0" w:after="0" w:afterAutospacing="0"/>
        <w:jc w:val="both"/>
        <w:rPr>
          <w:noProof/>
          <w:lang w:val="ro-RO"/>
        </w:rPr>
      </w:pPr>
      <w:bookmarkStart w:id="1" w:name="A292"/>
      <w:bookmarkEnd w:id="1"/>
      <w:r w:rsidRPr="00982DF5">
        <w:rPr>
          <w:noProof/>
          <w:lang w:val="ro-RO"/>
        </w:rPr>
        <w:t>ART. 292 - Scutiri pentru anumite activități de interes general și scutiri pentru alte activități</w:t>
      </w:r>
    </w:p>
    <w:p w:rsidR="00982DF5" w:rsidRPr="00982DF5" w:rsidRDefault="00982DF5" w:rsidP="00982DF5">
      <w:pPr>
        <w:pStyle w:val="stilarticol"/>
        <w:spacing w:before="0" w:beforeAutospacing="0" w:after="0" w:afterAutospacing="0"/>
        <w:jc w:val="both"/>
        <w:rPr>
          <w:noProof/>
          <w:lang w:val="ro-RO"/>
        </w:rPr>
      </w:pPr>
    </w:p>
    <w:p w:rsidR="00982DF5" w:rsidRPr="00982DF5" w:rsidRDefault="00982DF5" w:rsidP="00982DF5">
      <w:pPr>
        <w:pStyle w:val="stilparagraf"/>
        <w:spacing w:before="0" w:beforeAutospacing="0" w:after="0" w:afterAutospacing="0"/>
        <w:jc w:val="both"/>
        <w:rPr>
          <w:noProof/>
          <w:sz w:val="20"/>
          <w:szCs w:val="20"/>
          <w:lang w:val="ro-RO"/>
        </w:rPr>
      </w:pPr>
      <w:r w:rsidRPr="00982DF5">
        <w:rPr>
          <w:noProof/>
          <w:sz w:val="20"/>
          <w:szCs w:val="20"/>
          <w:lang w:val="ro-RO"/>
        </w:rPr>
        <w:t xml:space="preserve">Codul Fiscal este disponibil în variantă actualizată pe site-ul </w:t>
      </w:r>
      <w:hyperlink r:id="rId7" w:history="1">
        <w:r w:rsidRPr="00982DF5">
          <w:rPr>
            <w:rStyle w:val="Hyperlink"/>
            <w:noProof/>
            <w:sz w:val="20"/>
            <w:szCs w:val="20"/>
            <w:lang w:val="ro-RO"/>
          </w:rPr>
          <w:t>Agenției Naționale de Administrare Fiscală</w:t>
        </w:r>
      </w:hyperlink>
      <w:r w:rsidRPr="00982DF5">
        <w:rPr>
          <w:noProof/>
          <w:sz w:val="20"/>
          <w:szCs w:val="20"/>
          <w:lang w:val="ro-RO"/>
        </w:rPr>
        <w:t xml:space="preserve">. </w:t>
      </w:r>
    </w:p>
    <w:p w:rsidR="00982DF5" w:rsidRDefault="00982DF5" w:rsidP="00982DF5">
      <w:pPr>
        <w:pStyle w:val="stilparagraf"/>
        <w:spacing w:before="0" w:beforeAutospacing="0" w:after="0" w:afterAutospacing="0"/>
        <w:jc w:val="both"/>
        <w:rPr>
          <w:noProof/>
          <w:lang w:val="ro-RO"/>
        </w:rPr>
      </w:pPr>
    </w:p>
    <w:p w:rsidR="00982DF5" w:rsidRPr="00982DF5" w:rsidRDefault="00982DF5" w:rsidP="00982DF5">
      <w:pPr>
        <w:pStyle w:val="stilparagraf"/>
        <w:spacing w:before="0" w:beforeAutospacing="0" w:after="0" w:afterAutospacing="0"/>
        <w:jc w:val="both"/>
        <w:rPr>
          <w:noProof/>
          <w:lang w:val="ro-RO"/>
        </w:rPr>
      </w:pPr>
    </w:p>
    <w:p w:rsidR="00982DF5" w:rsidRPr="00982DF5" w:rsidRDefault="00982DF5" w:rsidP="00982DF5">
      <w:pPr>
        <w:pStyle w:val="stilparagraf"/>
        <w:numPr>
          <w:ilvl w:val="0"/>
          <w:numId w:val="3"/>
        </w:numPr>
        <w:spacing w:before="0" w:beforeAutospacing="0" w:after="0" w:afterAutospacing="0"/>
        <w:jc w:val="both"/>
        <w:rPr>
          <w:b/>
          <w:noProof/>
          <w:lang w:val="ro-RO"/>
        </w:rPr>
      </w:pPr>
      <w:r w:rsidRPr="00982DF5">
        <w:rPr>
          <w:b/>
          <w:noProof/>
          <w:lang w:val="ro-RO"/>
        </w:rPr>
        <w:t>Următoarele operațiuni de interes general sunt scutite de taxă:</w:t>
      </w:r>
    </w:p>
    <w:p w:rsidR="00982DF5" w:rsidRPr="00982DF5" w:rsidRDefault="00982DF5" w:rsidP="00982DF5">
      <w:pPr>
        <w:pStyle w:val="stilparagraf"/>
        <w:spacing w:before="0" w:beforeAutospacing="0" w:after="0" w:afterAutospacing="0"/>
        <w:jc w:val="both"/>
        <w:rPr>
          <w:noProof/>
          <w:lang w:val="ro-RO"/>
        </w:rPr>
      </w:pPr>
    </w:p>
    <w:p w:rsidR="00982DF5" w:rsidRPr="00982DF5" w:rsidRDefault="00982DF5" w:rsidP="00982DF5">
      <w:pPr>
        <w:pStyle w:val="stilparagraf"/>
        <w:numPr>
          <w:ilvl w:val="0"/>
          <w:numId w:val="1"/>
        </w:numPr>
        <w:spacing w:before="0" w:beforeAutospacing="0" w:after="0" w:afterAutospacing="0"/>
        <w:jc w:val="both"/>
        <w:rPr>
          <w:noProof/>
          <w:lang w:val="ro-RO"/>
        </w:rPr>
      </w:pPr>
      <w:r w:rsidRPr="00982DF5">
        <w:rPr>
          <w:noProof/>
          <w:lang w:val="ro-RO"/>
        </w:rPr>
        <w:t>spitalizarea, îngrijirile medicale și operațiunile strâns legate de acestea, desfășurate de unități autorizate pentru astfel de activități, indiferent de forma de organizare, precum: spitale, sanatorii, centre de sănătate rurale sau urbane, dispensare, cabinete și laboratoare medicale, centre de îngrijire medicală și de diagnostic, baze de tratament și recuperare, stații de salvare și alte unități autorizate să desfășoare astfel de activități;</w:t>
      </w:r>
      <w:hyperlink r:id="rId8" w:anchor="B292_1a" w:history="1">
        <w:r w:rsidRPr="00982DF5">
          <w:rPr>
            <w:rStyle w:val="Hyperlink"/>
            <w:noProof/>
            <w:lang w:val="ro-RO"/>
          </w:rPr>
          <w:t xml:space="preserve"> Norme metodologice</w:t>
        </w:r>
      </w:hyperlink>
      <w:r>
        <w:rPr>
          <w:noProof/>
          <w:lang w:val="ro-RO"/>
        </w:rPr>
        <w:t>.</w:t>
      </w:r>
      <w:r w:rsidRPr="00982DF5">
        <w:rPr>
          <w:noProof/>
          <w:lang w:val="ro-RO"/>
        </w:rPr>
        <w:t xml:space="preserve"> </w:t>
      </w:r>
    </w:p>
    <w:p w:rsidR="00982DF5" w:rsidRPr="00982DF5" w:rsidRDefault="00982DF5" w:rsidP="00982DF5">
      <w:pPr>
        <w:pStyle w:val="stilparagraf"/>
        <w:numPr>
          <w:ilvl w:val="0"/>
          <w:numId w:val="1"/>
        </w:numPr>
        <w:spacing w:before="0" w:beforeAutospacing="0" w:after="0" w:afterAutospacing="0"/>
        <w:jc w:val="both"/>
        <w:rPr>
          <w:noProof/>
          <w:lang w:val="ro-RO"/>
        </w:rPr>
      </w:pPr>
      <w:r w:rsidRPr="00982DF5">
        <w:rPr>
          <w:noProof/>
          <w:lang w:val="ro-RO"/>
        </w:rPr>
        <w:t>prestările de servicii efectuate în cadrul profesiunii lor de către stomatologi și tehnicieni dentari, precum și livrarea de proteze dentare efectuată de stomatologi și de tehnicieni dentari;</w:t>
      </w:r>
    </w:p>
    <w:p w:rsidR="00982DF5" w:rsidRPr="00982DF5" w:rsidRDefault="00982DF5" w:rsidP="00982DF5">
      <w:pPr>
        <w:pStyle w:val="stilparagraf"/>
        <w:numPr>
          <w:ilvl w:val="0"/>
          <w:numId w:val="1"/>
        </w:numPr>
        <w:spacing w:before="0" w:beforeAutospacing="0" w:after="0" w:afterAutospacing="0"/>
        <w:jc w:val="both"/>
        <w:rPr>
          <w:noProof/>
          <w:lang w:val="ro-RO"/>
        </w:rPr>
      </w:pPr>
      <w:r w:rsidRPr="00982DF5">
        <w:rPr>
          <w:noProof/>
          <w:lang w:val="ro-RO"/>
        </w:rPr>
        <w:t>prestările de îngrijire și supraveghere efectuate de personal medical și paramedical, conform prevederilor legale aplicabile în materie;</w:t>
      </w:r>
    </w:p>
    <w:p w:rsidR="00982DF5" w:rsidRPr="00982DF5" w:rsidRDefault="00982DF5" w:rsidP="00982DF5">
      <w:pPr>
        <w:pStyle w:val="stilparagraf"/>
        <w:numPr>
          <w:ilvl w:val="0"/>
          <w:numId w:val="1"/>
        </w:numPr>
        <w:spacing w:before="0" w:beforeAutospacing="0" w:after="0" w:afterAutospacing="0"/>
        <w:jc w:val="both"/>
        <w:rPr>
          <w:noProof/>
          <w:lang w:val="ro-RO"/>
        </w:rPr>
      </w:pPr>
      <w:r w:rsidRPr="00982DF5">
        <w:rPr>
          <w:noProof/>
          <w:lang w:val="ro-RO"/>
        </w:rPr>
        <w:t xml:space="preserve">transportul bolnavilor și al persoanelor accidentate, în vehicule special amenajate în acest scop, de către entități autorizate în acest sens; </w:t>
      </w:r>
      <w:hyperlink r:id="rId9" w:anchor="B292_1d" w:history="1">
        <w:r w:rsidRPr="00982DF5">
          <w:rPr>
            <w:rStyle w:val="Hyperlink"/>
            <w:noProof/>
            <w:lang w:val="ro-RO"/>
          </w:rPr>
          <w:t>Norme metodologice</w:t>
        </w:r>
      </w:hyperlink>
      <w:r w:rsidRPr="00982DF5">
        <w:rPr>
          <w:noProof/>
          <w:lang w:val="ro-RO"/>
        </w:rPr>
        <w:t xml:space="preserve"> </w:t>
      </w:r>
    </w:p>
    <w:p w:rsidR="00982DF5" w:rsidRPr="00982DF5" w:rsidRDefault="00982DF5" w:rsidP="00982DF5">
      <w:pPr>
        <w:pStyle w:val="stilparagraf"/>
        <w:numPr>
          <w:ilvl w:val="0"/>
          <w:numId w:val="1"/>
        </w:numPr>
        <w:spacing w:before="0" w:beforeAutospacing="0" w:after="0" w:afterAutospacing="0"/>
        <w:jc w:val="both"/>
        <w:rPr>
          <w:noProof/>
          <w:lang w:val="ro-RO"/>
        </w:rPr>
      </w:pPr>
      <w:r w:rsidRPr="00982DF5">
        <w:rPr>
          <w:noProof/>
          <w:lang w:val="ro-RO"/>
        </w:rPr>
        <w:t>livrările de organe, sânge și lapte, de proveniență umană;</w:t>
      </w:r>
    </w:p>
    <w:p w:rsidR="00982DF5" w:rsidRPr="00982DF5" w:rsidRDefault="00982DF5" w:rsidP="00982DF5">
      <w:pPr>
        <w:pStyle w:val="stilparagraf"/>
        <w:numPr>
          <w:ilvl w:val="0"/>
          <w:numId w:val="1"/>
        </w:numPr>
        <w:spacing w:before="0" w:beforeAutospacing="0" w:after="0" w:afterAutospacing="0"/>
        <w:jc w:val="both"/>
        <w:rPr>
          <w:noProof/>
          <w:lang w:val="ro-RO"/>
        </w:rPr>
      </w:pPr>
      <w:r w:rsidRPr="00982DF5">
        <w:rPr>
          <w:noProof/>
          <w:lang w:val="ro-RO"/>
        </w:rPr>
        <w:t>activitatea de învățământ prevăzută în Legea educației naționale nr. 1/2011, cu modificările și completările ulterioare, formarea profesională a adulților, precum și prestările de servicii și livrările de bunuri strâns legate de aceste activități, efectuate de instituțiile publice sau de alte entități autorizate. Scutirea se acordă în condițiile prevăzute în normele metodologice;</w:t>
      </w:r>
      <w:hyperlink r:id="rId10" w:anchor="B292_1f" w:history="1">
        <w:r w:rsidRPr="00982DF5">
          <w:rPr>
            <w:rStyle w:val="Hyperlink"/>
            <w:noProof/>
            <w:lang w:val="ro-RO"/>
          </w:rPr>
          <w:t xml:space="preserve"> Norme metodologice</w:t>
        </w:r>
      </w:hyperlink>
      <w:r w:rsidRPr="00982DF5">
        <w:rPr>
          <w:noProof/>
          <w:lang w:val="ro-RO"/>
        </w:rPr>
        <w:t xml:space="preserve"> </w:t>
      </w:r>
    </w:p>
    <w:p w:rsidR="00982DF5" w:rsidRPr="00982DF5" w:rsidRDefault="00982DF5" w:rsidP="00982DF5">
      <w:pPr>
        <w:pStyle w:val="stilparagraf"/>
        <w:numPr>
          <w:ilvl w:val="0"/>
          <w:numId w:val="1"/>
        </w:numPr>
        <w:spacing w:before="0" w:beforeAutospacing="0" w:after="0" w:afterAutospacing="0"/>
        <w:jc w:val="both"/>
        <w:rPr>
          <w:noProof/>
          <w:lang w:val="ro-RO"/>
        </w:rPr>
      </w:pPr>
      <w:r w:rsidRPr="00982DF5">
        <w:rPr>
          <w:noProof/>
          <w:lang w:val="ro-RO"/>
        </w:rPr>
        <w:t>livrările de bunuri sau prestările de servicii realizate de căminele și cantinele organizate pe lângă instituțiile publice și entitățile autorizate prevăzute la lit. f), în folosul exclusiv al persoanelor direct implicate în activitățile scutite conform lit. f);</w:t>
      </w:r>
    </w:p>
    <w:p w:rsidR="00982DF5" w:rsidRPr="00982DF5" w:rsidRDefault="00982DF5" w:rsidP="00982DF5">
      <w:pPr>
        <w:pStyle w:val="stilparagraf"/>
        <w:numPr>
          <w:ilvl w:val="0"/>
          <w:numId w:val="1"/>
        </w:numPr>
        <w:spacing w:before="0" w:beforeAutospacing="0" w:after="0" w:afterAutospacing="0"/>
        <w:jc w:val="both"/>
        <w:rPr>
          <w:noProof/>
          <w:lang w:val="ro-RO"/>
        </w:rPr>
      </w:pPr>
      <w:r w:rsidRPr="00982DF5">
        <w:rPr>
          <w:noProof/>
          <w:lang w:val="ro-RO"/>
        </w:rPr>
        <w:t>meditațiile acordate în particular de cadre didactice din domeniul învățământului școlar, preuniversitar și universitar;</w:t>
      </w:r>
    </w:p>
    <w:p w:rsidR="00982DF5" w:rsidRPr="00982DF5" w:rsidRDefault="00982DF5" w:rsidP="00982DF5">
      <w:pPr>
        <w:pStyle w:val="stilparagraf"/>
        <w:numPr>
          <w:ilvl w:val="0"/>
          <w:numId w:val="1"/>
        </w:numPr>
        <w:spacing w:before="0" w:beforeAutospacing="0" w:after="0" w:afterAutospacing="0"/>
        <w:jc w:val="both"/>
        <w:rPr>
          <w:noProof/>
          <w:lang w:val="ro-RO"/>
        </w:rPr>
      </w:pPr>
      <w:r w:rsidRPr="00982DF5">
        <w:rPr>
          <w:noProof/>
          <w:lang w:val="ro-RO"/>
        </w:rPr>
        <w:t>prestările de servicii și/sau livrările de bunuri strâns legate de asistența și/sau protecția socială, efectuate de instituțiile publice sau de alte entități recunoscute ca având caracter social, inclusiv cele livrate de căminele de bătrâni;</w:t>
      </w:r>
      <w:hyperlink r:id="rId11" w:anchor="B292_1ij" w:history="1">
        <w:r w:rsidRPr="00982DF5">
          <w:rPr>
            <w:rStyle w:val="Hyperlink"/>
            <w:noProof/>
            <w:lang w:val="ro-RO"/>
          </w:rPr>
          <w:t xml:space="preserve"> Norme metodologice</w:t>
        </w:r>
      </w:hyperlink>
    </w:p>
    <w:p w:rsidR="00982DF5" w:rsidRPr="00982DF5" w:rsidRDefault="00982DF5" w:rsidP="00982DF5">
      <w:pPr>
        <w:pStyle w:val="stilparagraf"/>
        <w:numPr>
          <w:ilvl w:val="0"/>
          <w:numId w:val="1"/>
        </w:numPr>
        <w:spacing w:before="0" w:beforeAutospacing="0" w:after="0" w:afterAutospacing="0"/>
        <w:jc w:val="both"/>
        <w:rPr>
          <w:noProof/>
          <w:lang w:val="ro-RO"/>
        </w:rPr>
      </w:pPr>
      <w:r w:rsidRPr="00982DF5">
        <w:rPr>
          <w:noProof/>
          <w:lang w:val="ro-RO"/>
        </w:rPr>
        <w:t xml:space="preserve">prestările de servicii și/sau livrările de bunuri strâns legate de protecția copiilor și a tinerilor, efectuate de instituțiile publice sau de alte entități recunoscute ca având caracter social; </w:t>
      </w:r>
      <w:hyperlink r:id="rId12" w:anchor="B292_1ij" w:history="1">
        <w:r w:rsidRPr="00982DF5">
          <w:rPr>
            <w:rStyle w:val="Hyperlink"/>
            <w:noProof/>
            <w:lang w:val="ro-RO"/>
          </w:rPr>
          <w:t>Norme metodologice</w:t>
        </w:r>
      </w:hyperlink>
      <w:r w:rsidRPr="00982DF5">
        <w:rPr>
          <w:noProof/>
          <w:lang w:val="ro-RO"/>
        </w:rPr>
        <w:t xml:space="preserve"> </w:t>
      </w:r>
    </w:p>
    <w:p w:rsidR="00982DF5" w:rsidRPr="00982DF5" w:rsidRDefault="00982DF5" w:rsidP="00982DF5">
      <w:pPr>
        <w:pStyle w:val="stilparagraf"/>
        <w:numPr>
          <w:ilvl w:val="0"/>
          <w:numId w:val="1"/>
        </w:numPr>
        <w:spacing w:before="0" w:beforeAutospacing="0" w:after="0" w:afterAutospacing="0"/>
        <w:jc w:val="both"/>
        <w:rPr>
          <w:noProof/>
          <w:lang w:val="ro-RO"/>
        </w:rPr>
      </w:pPr>
      <w:r w:rsidRPr="00982DF5">
        <w:rPr>
          <w:noProof/>
          <w:lang w:val="ro-RO"/>
        </w:rPr>
        <w:t xml:space="preserve">prestările de servicii și/sau livrările de bunuri furnizate membrilor în interesul lor colectiv, în schimbul unei cotizații fixate conform statutului, de organizații fără scop patrimonial care au obiective de natură politică, sindicală, religioasă, patriotică, filozofică, filantropică, patronală, profesională sau civică, precum și obiective de reprezentare a intereselor membrilor lor, în condițiile în care această scutire nu provoacă distorsiuni de concurență; </w:t>
      </w:r>
      <w:hyperlink r:id="rId13" w:anchor="B292_1k" w:history="1">
        <w:r w:rsidRPr="00982DF5">
          <w:rPr>
            <w:rStyle w:val="Hyperlink"/>
            <w:noProof/>
            <w:lang w:val="ro-RO"/>
          </w:rPr>
          <w:t>Norme metodologice</w:t>
        </w:r>
      </w:hyperlink>
    </w:p>
    <w:p w:rsidR="00982DF5" w:rsidRPr="00982DF5" w:rsidRDefault="00982DF5" w:rsidP="00982DF5">
      <w:pPr>
        <w:pStyle w:val="stilparagraf"/>
        <w:numPr>
          <w:ilvl w:val="0"/>
          <w:numId w:val="1"/>
        </w:numPr>
        <w:spacing w:before="0" w:beforeAutospacing="0" w:after="0" w:afterAutospacing="0"/>
        <w:jc w:val="both"/>
        <w:rPr>
          <w:noProof/>
          <w:lang w:val="ro-RO"/>
        </w:rPr>
      </w:pPr>
      <w:r w:rsidRPr="00982DF5">
        <w:rPr>
          <w:noProof/>
          <w:lang w:val="ro-RO"/>
        </w:rPr>
        <w:lastRenderedPageBreak/>
        <w:t xml:space="preserve">prestările de servicii strâns legate de practicarea sportului sau a educației fizice, efectuate de organizații fără scop patrimonial pentru persoanele care practică sportul sau educația fizică; </w:t>
      </w:r>
      <w:hyperlink r:id="rId14" w:anchor="B292_1l" w:history="1">
        <w:r w:rsidRPr="00982DF5">
          <w:rPr>
            <w:rStyle w:val="Hyperlink"/>
            <w:noProof/>
            <w:lang w:val="ro-RO"/>
          </w:rPr>
          <w:t>Norme metodologice</w:t>
        </w:r>
      </w:hyperlink>
      <w:r w:rsidRPr="00982DF5">
        <w:rPr>
          <w:noProof/>
          <w:lang w:val="ro-RO"/>
        </w:rPr>
        <w:t xml:space="preserve"> </w:t>
      </w:r>
    </w:p>
    <w:p w:rsidR="00982DF5" w:rsidRPr="00982DF5" w:rsidRDefault="00982DF5" w:rsidP="00982DF5">
      <w:pPr>
        <w:pStyle w:val="stilparagraf"/>
        <w:numPr>
          <w:ilvl w:val="0"/>
          <w:numId w:val="1"/>
        </w:numPr>
        <w:spacing w:before="0" w:beforeAutospacing="0" w:after="0" w:afterAutospacing="0"/>
        <w:jc w:val="both"/>
        <w:rPr>
          <w:noProof/>
          <w:lang w:val="ro-RO"/>
        </w:rPr>
      </w:pPr>
      <w:r w:rsidRPr="00982DF5">
        <w:rPr>
          <w:noProof/>
          <w:lang w:val="ro-RO"/>
        </w:rPr>
        <w:t>prestările de servicii culturale și/sau livrările de bunuri strâns legate de acestea, efectuate de instituțiile publice sau de alte organisme culturale fără scop patrimonial, recunoscute ca atare de către Ministerul Culturii;</w:t>
      </w:r>
      <w:hyperlink r:id="rId15" w:anchor="B292_1m" w:history="1">
        <w:r w:rsidRPr="00982DF5">
          <w:rPr>
            <w:rStyle w:val="Hyperlink"/>
            <w:noProof/>
            <w:lang w:val="ro-RO"/>
          </w:rPr>
          <w:t xml:space="preserve"> Norme metodologice</w:t>
        </w:r>
      </w:hyperlink>
    </w:p>
    <w:p w:rsidR="00982DF5" w:rsidRPr="00982DF5" w:rsidRDefault="00982DF5" w:rsidP="00982DF5">
      <w:pPr>
        <w:pStyle w:val="stilparagraf"/>
        <w:numPr>
          <w:ilvl w:val="0"/>
          <w:numId w:val="1"/>
        </w:numPr>
        <w:spacing w:before="0" w:beforeAutospacing="0" w:after="0" w:afterAutospacing="0"/>
        <w:jc w:val="both"/>
        <w:rPr>
          <w:noProof/>
          <w:lang w:val="ro-RO"/>
        </w:rPr>
      </w:pPr>
      <w:r w:rsidRPr="00982DF5">
        <w:rPr>
          <w:noProof/>
          <w:lang w:val="ro-RO"/>
        </w:rPr>
        <w:t>prestările de servicii și/sau livrările de bunuri efectuate de persoane ale căror operațiuni sunt scutite, potrivit lit. a), f) și i) - m), cu ocazia manifestărilor destinate să le aducă sprijin financiar și organizate în profitul lor exclusiv, cu condiția ca aceste scutiri să nu producă distorsiuni concurențiale;</w:t>
      </w:r>
      <w:hyperlink r:id="rId16" w:anchor="B292_1n" w:history="1">
        <w:r w:rsidRPr="00982DF5">
          <w:rPr>
            <w:rStyle w:val="Hyperlink"/>
            <w:noProof/>
            <w:lang w:val="ro-RO"/>
          </w:rPr>
          <w:t xml:space="preserve"> Norme metodologice</w:t>
        </w:r>
      </w:hyperlink>
    </w:p>
    <w:p w:rsidR="00982DF5" w:rsidRPr="00982DF5" w:rsidRDefault="00982DF5" w:rsidP="00982DF5">
      <w:pPr>
        <w:pStyle w:val="stilparagraf"/>
        <w:numPr>
          <w:ilvl w:val="0"/>
          <w:numId w:val="1"/>
        </w:numPr>
        <w:spacing w:before="0" w:beforeAutospacing="0" w:after="0" w:afterAutospacing="0"/>
        <w:jc w:val="both"/>
        <w:rPr>
          <w:noProof/>
          <w:lang w:val="ro-RO"/>
        </w:rPr>
      </w:pPr>
      <w:r w:rsidRPr="00982DF5">
        <w:rPr>
          <w:noProof/>
          <w:lang w:val="ro-RO"/>
        </w:rPr>
        <w:t>activitățile specifice posturilor publice de radio și televiziune, altele decât activitățile de natură comercială;</w:t>
      </w:r>
      <w:hyperlink r:id="rId17" w:anchor="B292_1o" w:history="1">
        <w:r w:rsidRPr="00982DF5">
          <w:rPr>
            <w:rStyle w:val="Hyperlink"/>
            <w:noProof/>
            <w:lang w:val="ro-RO"/>
          </w:rPr>
          <w:t xml:space="preserve"> Norme metodologice</w:t>
        </w:r>
      </w:hyperlink>
    </w:p>
    <w:p w:rsidR="00982DF5" w:rsidRPr="00982DF5" w:rsidRDefault="00982DF5" w:rsidP="00982DF5">
      <w:pPr>
        <w:pStyle w:val="stilparagraf"/>
        <w:numPr>
          <w:ilvl w:val="0"/>
          <w:numId w:val="1"/>
        </w:numPr>
        <w:spacing w:before="0" w:beforeAutospacing="0" w:after="0" w:afterAutospacing="0"/>
        <w:jc w:val="both"/>
        <w:rPr>
          <w:noProof/>
          <w:lang w:val="ro-RO"/>
        </w:rPr>
      </w:pPr>
      <w:r w:rsidRPr="00982DF5">
        <w:rPr>
          <w:noProof/>
          <w:lang w:val="ro-RO"/>
        </w:rPr>
        <w:t>serviciile publice poștale, precum și livrarea de bunuri aferentă acestora;</w:t>
      </w:r>
      <w:hyperlink r:id="rId18" w:anchor="B292_1p" w:history="1">
        <w:r w:rsidRPr="00982DF5">
          <w:rPr>
            <w:rStyle w:val="Hyperlink"/>
            <w:noProof/>
            <w:lang w:val="ro-RO"/>
          </w:rPr>
          <w:t xml:space="preserve"> Norme metodologice</w:t>
        </w:r>
      </w:hyperlink>
    </w:p>
    <w:p w:rsidR="00982DF5" w:rsidRPr="00982DF5" w:rsidRDefault="00982DF5" w:rsidP="00982DF5">
      <w:pPr>
        <w:pStyle w:val="stilparagraf"/>
        <w:numPr>
          <w:ilvl w:val="0"/>
          <w:numId w:val="1"/>
        </w:numPr>
        <w:spacing w:before="0" w:beforeAutospacing="0" w:after="0" w:afterAutospacing="0"/>
        <w:jc w:val="both"/>
        <w:rPr>
          <w:noProof/>
          <w:lang w:val="ro-RO"/>
        </w:rPr>
      </w:pPr>
      <w:r w:rsidRPr="00982DF5">
        <w:rPr>
          <w:noProof/>
          <w:lang w:val="ro-RO"/>
        </w:rPr>
        <w:t>prestările de servicii efectuate de către grupuri independente de persoane, ale căror operațiuni sunt scutite sau nu intră în sfera de aplicare a taxei, grupuri create în scopul prestării către membrii lor de servicii direct legate de exercitarea activităților acestora, în cazul în care aceste grupuri solicită membrilor lor numai rambursarea cotei-părți de cheltuieli comune, în limitele și în condițiile stabilite prin normele metodologice și în condițiile în care această scutire nu este de natură a produce distorsiuni concurențiale;</w:t>
      </w:r>
      <w:hyperlink r:id="rId19" w:anchor="B292_1q" w:history="1">
        <w:r w:rsidRPr="00982DF5">
          <w:rPr>
            <w:rStyle w:val="Hyperlink"/>
            <w:noProof/>
            <w:lang w:val="ro-RO"/>
          </w:rPr>
          <w:t xml:space="preserve"> Norme metodologice</w:t>
        </w:r>
      </w:hyperlink>
    </w:p>
    <w:p w:rsidR="00982DF5" w:rsidRPr="00982DF5" w:rsidRDefault="00982DF5" w:rsidP="00982DF5">
      <w:pPr>
        <w:pStyle w:val="stilparagraf"/>
        <w:numPr>
          <w:ilvl w:val="0"/>
          <w:numId w:val="1"/>
        </w:numPr>
        <w:spacing w:before="0" w:beforeAutospacing="0" w:after="0" w:afterAutospacing="0"/>
        <w:jc w:val="both"/>
        <w:rPr>
          <w:noProof/>
          <w:lang w:val="ro-RO"/>
        </w:rPr>
      </w:pPr>
      <w:r w:rsidRPr="00982DF5">
        <w:rPr>
          <w:noProof/>
          <w:lang w:val="ro-RO"/>
        </w:rPr>
        <w:t>furnizarea de personal de către instituțiile religioase sau filozofice în scopul activităților prevăzute la lit. a), f), i) și j).</w:t>
      </w:r>
    </w:p>
    <w:p w:rsidR="00982DF5" w:rsidRDefault="00982DF5" w:rsidP="00982DF5">
      <w:pPr>
        <w:pStyle w:val="stilparagraf"/>
        <w:spacing w:before="0" w:beforeAutospacing="0" w:after="0" w:afterAutospacing="0"/>
        <w:jc w:val="both"/>
        <w:rPr>
          <w:noProof/>
          <w:lang w:val="ro-RO"/>
        </w:rPr>
      </w:pPr>
    </w:p>
    <w:p w:rsidR="00982DF5" w:rsidRDefault="00982DF5" w:rsidP="00982DF5">
      <w:pPr>
        <w:pStyle w:val="stilparagraf"/>
        <w:spacing w:before="0" w:beforeAutospacing="0" w:after="0" w:afterAutospacing="0"/>
        <w:jc w:val="both"/>
        <w:rPr>
          <w:noProof/>
          <w:lang w:val="ro-RO"/>
        </w:rPr>
      </w:pPr>
    </w:p>
    <w:p w:rsidR="00982DF5" w:rsidRPr="00982DF5" w:rsidRDefault="00982DF5" w:rsidP="00982DF5">
      <w:pPr>
        <w:pStyle w:val="stilparagraf"/>
        <w:numPr>
          <w:ilvl w:val="0"/>
          <w:numId w:val="3"/>
        </w:numPr>
        <w:spacing w:before="0" w:beforeAutospacing="0" w:after="0" w:afterAutospacing="0"/>
        <w:jc w:val="both"/>
        <w:rPr>
          <w:b/>
          <w:noProof/>
          <w:lang w:val="ro-RO"/>
        </w:rPr>
      </w:pPr>
      <w:r w:rsidRPr="00982DF5">
        <w:rPr>
          <w:b/>
          <w:noProof/>
          <w:lang w:val="ro-RO"/>
        </w:rPr>
        <w:t>Următoarele operațiuni sunt, de asemenea, scutite de taxă:</w:t>
      </w:r>
    </w:p>
    <w:p w:rsidR="00982DF5" w:rsidRPr="00982DF5" w:rsidRDefault="00982DF5" w:rsidP="00982DF5">
      <w:pPr>
        <w:pStyle w:val="stilparagraf"/>
        <w:spacing w:before="0" w:beforeAutospacing="0" w:after="0" w:afterAutospacing="0"/>
        <w:ind w:left="360"/>
        <w:jc w:val="both"/>
        <w:rPr>
          <w:noProof/>
          <w:lang w:val="ro-RO"/>
        </w:rPr>
      </w:pPr>
    </w:p>
    <w:p w:rsidR="00982DF5" w:rsidRPr="00982DF5" w:rsidRDefault="00982DF5" w:rsidP="00982DF5">
      <w:pPr>
        <w:pStyle w:val="stilparagraf"/>
        <w:numPr>
          <w:ilvl w:val="0"/>
          <w:numId w:val="4"/>
        </w:numPr>
        <w:spacing w:before="0" w:beforeAutospacing="0" w:after="0" w:afterAutospacing="0"/>
        <w:jc w:val="both"/>
        <w:rPr>
          <w:noProof/>
          <w:lang w:val="ro-RO"/>
        </w:rPr>
      </w:pPr>
      <w:r w:rsidRPr="00982DF5">
        <w:rPr>
          <w:noProof/>
          <w:lang w:val="ro-RO"/>
        </w:rPr>
        <w:t>prestările următoarelor servicii de natură financiar-bancară:</w:t>
      </w:r>
    </w:p>
    <w:p w:rsidR="00982DF5" w:rsidRPr="00982DF5" w:rsidRDefault="00982DF5" w:rsidP="00982DF5">
      <w:pPr>
        <w:pStyle w:val="stilparagraf"/>
        <w:numPr>
          <w:ilvl w:val="0"/>
          <w:numId w:val="6"/>
        </w:numPr>
        <w:spacing w:before="0" w:beforeAutospacing="0" w:after="0" w:afterAutospacing="0"/>
        <w:jc w:val="both"/>
        <w:rPr>
          <w:noProof/>
          <w:lang w:val="ro-RO"/>
        </w:rPr>
      </w:pPr>
      <w:r w:rsidRPr="00982DF5">
        <w:rPr>
          <w:noProof/>
          <w:lang w:val="ro-RO"/>
        </w:rPr>
        <w:t>acordarea și negocierea de credite, precum și administrarea creditelor de către persoana care le acordă;</w:t>
      </w:r>
    </w:p>
    <w:p w:rsidR="00982DF5" w:rsidRPr="00982DF5" w:rsidRDefault="00982DF5" w:rsidP="00982DF5">
      <w:pPr>
        <w:pStyle w:val="stilparagraf"/>
        <w:numPr>
          <w:ilvl w:val="0"/>
          <w:numId w:val="6"/>
        </w:numPr>
        <w:spacing w:before="0" w:beforeAutospacing="0" w:after="0" w:afterAutospacing="0"/>
        <w:jc w:val="both"/>
        <w:rPr>
          <w:noProof/>
          <w:lang w:val="ro-RO"/>
        </w:rPr>
      </w:pPr>
      <w:r w:rsidRPr="00982DF5">
        <w:rPr>
          <w:noProof/>
          <w:lang w:val="ro-RO"/>
        </w:rPr>
        <w:t>negocierea garanțiilor de credit ori a altor garanții sau orice operațiuni cu astfel de garanții, precum și administrarea garanțiilor de credit de către persoana care acordă creditul;</w:t>
      </w:r>
    </w:p>
    <w:p w:rsidR="00982DF5" w:rsidRPr="00982DF5" w:rsidRDefault="00982DF5" w:rsidP="00982DF5">
      <w:pPr>
        <w:pStyle w:val="stilparagraf"/>
        <w:numPr>
          <w:ilvl w:val="0"/>
          <w:numId w:val="6"/>
        </w:numPr>
        <w:spacing w:before="0" w:beforeAutospacing="0" w:after="0" w:afterAutospacing="0"/>
        <w:jc w:val="both"/>
        <w:rPr>
          <w:noProof/>
          <w:lang w:val="ro-RO"/>
        </w:rPr>
      </w:pPr>
      <w:r w:rsidRPr="00982DF5">
        <w:rPr>
          <w:noProof/>
          <w:lang w:val="ro-RO"/>
        </w:rPr>
        <w:t>tranzacții, inclusiv negocierea, privind conturile de depozit sau conturile curente, plăți, viramente, creanțe, cecuri și alte instrumente negociabile, exceptând recuperarea creanțelor;</w:t>
      </w:r>
    </w:p>
    <w:p w:rsidR="00982DF5" w:rsidRPr="00982DF5" w:rsidRDefault="00982DF5" w:rsidP="00982DF5">
      <w:pPr>
        <w:pStyle w:val="stilparagraf"/>
        <w:numPr>
          <w:ilvl w:val="0"/>
          <w:numId w:val="6"/>
        </w:numPr>
        <w:spacing w:before="0" w:beforeAutospacing="0" w:after="0" w:afterAutospacing="0"/>
        <w:jc w:val="both"/>
        <w:rPr>
          <w:noProof/>
          <w:lang w:val="ro-RO"/>
        </w:rPr>
      </w:pPr>
      <w:r w:rsidRPr="00982DF5">
        <w:rPr>
          <w:noProof/>
          <w:lang w:val="ro-RO"/>
        </w:rPr>
        <w:t>tranzacții, inclusiv negocierea, privind valuta, bancnotele și monedele utilizate ca mijloc legal de plată, cu excepția obiectelor de colecție, și anume monede de aur, argint sau din alt metal ori bancnote care nu sunt utilizate în mod normal ca mijloc legal de plată sau monede de interes numismatic;</w:t>
      </w:r>
      <w:hyperlink r:id="rId20" w:anchor="B292_2a4" w:history="1">
        <w:r w:rsidRPr="00982DF5">
          <w:rPr>
            <w:rStyle w:val="Hyperlink"/>
            <w:noProof/>
            <w:lang w:val="ro-RO"/>
          </w:rPr>
          <w:t xml:space="preserve"> Norme metodologice</w:t>
        </w:r>
      </w:hyperlink>
    </w:p>
    <w:p w:rsidR="00982DF5" w:rsidRPr="00982DF5" w:rsidRDefault="00982DF5" w:rsidP="00982DF5">
      <w:pPr>
        <w:pStyle w:val="stilparagraf"/>
        <w:numPr>
          <w:ilvl w:val="0"/>
          <w:numId w:val="6"/>
        </w:numPr>
        <w:spacing w:before="0" w:beforeAutospacing="0" w:after="0" w:afterAutospacing="0"/>
        <w:jc w:val="both"/>
        <w:rPr>
          <w:noProof/>
          <w:lang w:val="ro-RO"/>
        </w:rPr>
      </w:pPr>
      <w:r w:rsidRPr="00982DF5">
        <w:rPr>
          <w:noProof/>
          <w:lang w:val="ro-RO"/>
        </w:rPr>
        <w:t>tranzacții, inclusiv negocierea, dar exceptând administrarea sau păstrarea în siguranță, cu acțiuni, părți sociale în societăți comerciale sau asociații, obligațiuni garantate și alte instrumente financiare, cu excepția documentelor care stabilesc drepturi asupra bunurilor;</w:t>
      </w:r>
    </w:p>
    <w:p w:rsidR="00982DF5" w:rsidRPr="00982DF5" w:rsidRDefault="00982DF5" w:rsidP="00982DF5">
      <w:pPr>
        <w:pStyle w:val="stilparagraf"/>
        <w:numPr>
          <w:ilvl w:val="0"/>
          <w:numId w:val="6"/>
        </w:numPr>
        <w:spacing w:before="0" w:beforeAutospacing="0" w:after="0" w:afterAutospacing="0"/>
        <w:jc w:val="both"/>
        <w:rPr>
          <w:noProof/>
          <w:lang w:val="ro-RO"/>
        </w:rPr>
      </w:pPr>
      <w:r w:rsidRPr="00982DF5">
        <w:rPr>
          <w:noProof/>
          <w:lang w:val="ro-RO"/>
        </w:rPr>
        <w:t xml:space="preserve">administrarea de fonduri speciale de investiții; </w:t>
      </w:r>
      <w:hyperlink r:id="rId21" w:anchor="B292_2a" w:history="1">
        <w:r w:rsidRPr="00982DF5">
          <w:rPr>
            <w:rStyle w:val="Hyperlink"/>
            <w:noProof/>
            <w:lang w:val="ro-RO"/>
          </w:rPr>
          <w:t>Norme metodologice</w:t>
        </w:r>
      </w:hyperlink>
    </w:p>
    <w:p w:rsidR="00982DF5" w:rsidRPr="00982DF5" w:rsidRDefault="00982DF5" w:rsidP="00982DF5">
      <w:pPr>
        <w:pStyle w:val="stilparagraf"/>
        <w:numPr>
          <w:ilvl w:val="0"/>
          <w:numId w:val="4"/>
        </w:numPr>
        <w:spacing w:before="0" w:beforeAutospacing="0" w:after="0" w:afterAutospacing="0"/>
        <w:jc w:val="both"/>
        <w:rPr>
          <w:noProof/>
          <w:lang w:val="ro-RO"/>
        </w:rPr>
      </w:pPr>
      <w:r w:rsidRPr="00982DF5">
        <w:rPr>
          <w:noProof/>
          <w:lang w:val="ro-RO"/>
        </w:rPr>
        <w:t xml:space="preserve">operațiunile de asigurare și/sau de reasigurare, precum și prestările de servicii în legătură cu operațiunile de asigurare și/sau de reasigurare efectuate de persoanele impozabile care intermediază astfel de operațiuni; </w:t>
      </w:r>
      <w:hyperlink r:id="rId22" w:anchor="B292_2b" w:history="1">
        <w:r w:rsidRPr="00982DF5">
          <w:rPr>
            <w:rStyle w:val="Hyperlink"/>
            <w:noProof/>
            <w:lang w:val="ro-RO"/>
          </w:rPr>
          <w:t>Norme metodologice</w:t>
        </w:r>
      </w:hyperlink>
    </w:p>
    <w:p w:rsidR="00982DF5" w:rsidRPr="00982DF5" w:rsidRDefault="00982DF5" w:rsidP="00982DF5">
      <w:pPr>
        <w:pStyle w:val="stilparagraf"/>
        <w:numPr>
          <w:ilvl w:val="0"/>
          <w:numId w:val="4"/>
        </w:numPr>
        <w:spacing w:before="0" w:beforeAutospacing="0" w:after="0" w:afterAutospacing="0"/>
        <w:jc w:val="both"/>
        <w:rPr>
          <w:noProof/>
          <w:lang w:val="ro-RO"/>
        </w:rPr>
      </w:pPr>
      <w:r w:rsidRPr="00982DF5">
        <w:rPr>
          <w:noProof/>
          <w:lang w:val="ro-RO"/>
        </w:rPr>
        <w:lastRenderedPageBreak/>
        <w:t>pariuri, loterii și alte forme de jocuri de noroc efectuate de persoanele autorizate, conform legii, să desfășoare astfel de activități;</w:t>
      </w:r>
    </w:p>
    <w:p w:rsidR="00982DF5" w:rsidRPr="00982DF5" w:rsidRDefault="00982DF5" w:rsidP="00982DF5">
      <w:pPr>
        <w:pStyle w:val="stilparagraf"/>
        <w:numPr>
          <w:ilvl w:val="0"/>
          <w:numId w:val="4"/>
        </w:numPr>
        <w:spacing w:before="0" w:beforeAutospacing="0" w:after="0" w:afterAutospacing="0"/>
        <w:jc w:val="both"/>
        <w:rPr>
          <w:noProof/>
          <w:lang w:val="ro-RO"/>
        </w:rPr>
      </w:pPr>
      <w:r w:rsidRPr="00982DF5">
        <w:rPr>
          <w:noProof/>
          <w:lang w:val="ro-RO"/>
        </w:rPr>
        <w:t>livrarea la valoarea nominală de timbre poștale utilizabile pentru serviciile poștale, de timbre fiscale și alte timbre similare;</w:t>
      </w:r>
    </w:p>
    <w:p w:rsidR="00982DF5" w:rsidRPr="00982DF5" w:rsidRDefault="00982DF5" w:rsidP="00982DF5">
      <w:pPr>
        <w:pStyle w:val="stilparagraf"/>
        <w:numPr>
          <w:ilvl w:val="0"/>
          <w:numId w:val="4"/>
        </w:numPr>
        <w:spacing w:before="0" w:beforeAutospacing="0" w:after="0" w:afterAutospacing="0"/>
        <w:jc w:val="both"/>
        <w:rPr>
          <w:noProof/>
          <w:lang w:val="ro-RO"/>
        </w:rPr>
      </w:pPr>
      <w:r w:rsidRPr="00982DF5">
        <w:rPr>
          <w:noProof/>
          <w:lang w:val="ro-RO"/>
        </w:rPr>
        <w:t>arendarea, concesionarea, închirierea și leasingul de bunuri imobile, acordarea unor drepturi reale asupra unui bun imobil, precum dreptul de uzufruct și superficia, cu plată, pe o anumită perioadă. Fac excepție următoarele operațiuni:</w:t>
      </w:r>
    </w:p>
    <w:p w:rsidR="00982DF5" w:rsidRPr="00982DF5" w:rsidRDefault="00982DF5" w:rsidP="00982DF5">
      <w:pPr>
        <w:pStyle w:val="stilparagraf"/>
        <w:numPr>
          <w:ilvl w:val="0"/>
          <w:numId w:val="10"/>
        </w:numPr>
        <w:spacing w:before="0" w:beforeAutospacing="0" w:after="0" w:afterAutospacing="0"/>
        <w:jc w:val="both"/>
        <w:rPr>
          <w:noProof/>
          <w:lang w:val="ro-RO"/>
        </w:rPr>
      </w:pPr>
      <w:r w:rsidRPr="00982DF5">
        <w:rPr>
          <w:noProof/>
          <w:lang w:val="ro-RO"/>
        </w:rPr>
        <w:t>operațiunile de cazare care sunt efectuate în cadrul sectorului hotelier sau al sectoarelor cu funcție similară, inclusiv închirierea terenurilor amenajate pentru camping;</w:t>
      </w:r>
    </w:p>
    <w:p w:rsidR="00982DF5" w:rsidRPr="00982DF5" w:rsidRDefault="00982DF5" w:rsidP="00982DF5">
      <w:pPr>
        <w:pStyle w:val="stilparagraf"/>
        <w:numPr>
          <w:ilvl w:val="0"/>
          <w:numId w:val="10"/>
        </w:numPr>
        <w:spacing w:before="0" w:beforeAutospacing="0" w:after="0" w:afterAutospacing="0"/>
        <w:jc w:val="both"/>
        <w:rPr>
          <w:noProof/>
          <w:lang w:val="ro-RO"/>
        </w:rPr>
      </w:pPr>
      <w:r w:rsidRPr="00982DF5">
        <w:rPr>
          <w:noProof/>
          <w:lang w:val="ro-RO"/>
        </w:rPr>
        <w:t>închirierea de spații sau locații pentru parcarea autovehiculelor;</w:t>
      </w:r>
    </w:p>
    <w:p w:rsidR="00982DF5" w:rsidRPr="00982DF5" w:rsidRDefault="00982DF5" w:rsidP="00982DF5">
      <w:pPr>
        <w:pStyle w:val="stilparagraf"/>
        <w:numPr>
          <w:ilvl w:val="0"/>
          <w:numId w:val="10"/>
        </w:numPr>
        <w:spacing w:before="0" w:beforeAutospacing="0" w:after="0" w:afterAutospacing="0"/>
        <w:jc w:val="both"/>
        <w:rPr>
          <w:noProof/>
          <w:lang w:val="ro-RO"/>
        </w:rPr>
      </w:pPr>
      <w:r w:rsidRPr="00982DF5">
        <w:rPr>
          <w:noProof/>
          <w:lang w:val="ro-RO"/>
        </w:rPr>
        <w:t xml:space="preserve">închirierea utilajelor și a mașinilor fixate definitiv în bunuri imobile; </w:t>
      </w:r>
      <w:hyperlink r:id="rId23" w:anchor="B292_2e3" w:history="1">
        <w:r w:rsidRPr="00982DF5">
          <w:rPr>
            <w:rStyle w:val="Hyperlink"/>
            <w:noProof/>
            <w:lang w:val="ro-RO"/>
          </w:rPr>
          <w:t>Norme metodologice</w:t>
        </w:r>
      </w:hyperlink>
      <w:r w:rsidRPr="00982DF5">
        <w:rPr>
          <w:noProof/>
          <w:lang w:val="ro-RO"/>
        </w:rPr>
        <w:t xml:space="preserve"> </w:t>
      </w:r>
    </w:p>
    <w:p w:rsidR="00982DF5" w:rsidRPr="00982DF5" w:rsidRDefault="00982DF5" w:rsidP="00982DF5">
      <w:pPr>
        <w:pStyle w:val="stilparagraf"/>
        <w:numPr>
          <w:ilvl w:val="0"/>
          <w:numId w:val="10"/>
        </w:numPr>
        <w:spacing w:before="0" w:beforeAutospacing="0" w:after="0" w:afterAutospacing="0"/>
        <w:jc w:val="both"/>
        <w:rPr>
          <w:noProof/>
          <w:lang w:val="ro-RO"/>
        </w:rPr>
      </w:pPr>
      <w:r w:rsidRPr="00982DF5">
        <w:rPr>
          <w:noProof/>
          <w:lang w:val="ro-RO"/>
        </w:rPr>
        <w:t>închirierea seifurilor;</w:t>
      </w:r>
    </w:p>
    <w:p w:rsidR="00982DF5" w:rsidRPr="00982DF5" w:rsidRDefault="00982DF5" w:rsidP="00982DF5">
      <w:pPr>
        <w:pStyle w:val="stilparagraf"/>
        <w:numPr>
          <w:ilvl w:val="0"/>
          <w:numId w:val="4"/>
        </w:numPr>
        <w:spacing w:before="0" w:beforeAutospacing="0" w:after="0" w:afterAutospacing="0"/>
        <w:jc w:val="both"/>
        <w:rPr>
          <w:noProof/>
          <w:lang w:val="ro-RO"/>
        </w:rPr>
      </w:pPr>
      <w:r w:rsidRPr="00982DF5">
        <w:rPr>
          <w:noProof/>
          <w:lang w:val="ro-RO"/>
        </w:rPr>
        <w:t>livrarea de construcții/părți de construcții și a terenurilor pe care sunt construite, precum și a oricăror altor terenuri. Prin excepție, scutirea nu se aplică pentru livrarea de construcții noi, de părți de construcții noi sau de terenuri construibile. în sensul prezentului articol se definesc următoarele:</w:t>
      </w:r>
    </w:p>
    <w:p w:rsidR="00982DF5" w:rsidRPr="00982DF5" w:rsidRDefault="00982DF5" w:rsidP="00982DF5">
      <w:pPr>
        <w:pStyle w:val="stilparagraf"/>
        <w:numPr>
          <w:ilvl w:val="0"/>
          <w:numId w:val="12"/>
        </w:numPr>
        <w:spacing w:before="0" w:beforeAutospacing="0" w:after="0" w:afterAutospacing="0"/>
        <w:jc w:val="both"/>
        <w:rPr>
          <w:noProof/>
          <w:lang w:val="ro-RO"/>
        </w:rPr>
      </w:pPr>
      <w:r w:rsidRPr="00982DF5">
        <w:rPr>
          <w:i/>
          <w:iCs/>
          <w:noProof/>
          <w:lang w:val="ro-RO"/>
        </w:rPr>
        <w:t>teren construibil</w:t>
      </w:r>
      <w:r w:rsidRPr="00982DF5">
        <w:rPr>
          <w:noProof/>
          <w:lang w:val="ro-RO"/>
        </w:rPr>
        <w:t xml:space="preserve"> reprezintă orice teren amenajat sau neamenajat, pe care se pot executa construcții, conform legislației în vigoare;</w:t>
      </w:r>
    </w:p>
    <w:p w:rsidR="00982DF5" w:rsidRPr="00982DF5" w:rsidRDefault="00982DF5" w:rsidP="00982DF5">
      <w:pPr>
        <w:pStyle w:val="stilparagraf"/>
        <w:numPr>
          <w:ilvl w:val="0"/>
          <w:numId w:val="12"/>
        </w:numPr>
        <w:spacing w:before="0" w:beforeAutospacing="0" w:after="0" w:afterAutospacing="0"/>
        <w:jc w:val="both"/>
        <w:rPr>
          <w:noProof/>
          <w:lang w:val="ro-RO"/>
        </w:rPr>
      </w:pPr>
      <w:r w:rsidRPr="00982DF5">
        <w:rPr>
          <w:i/>
          <w:iCs/>
          <w:noProof/>
          <w:lang w:val="ro-RO"/>
        </w:rPr>
        <w:t>construcție</w:t>
      </w:r>
      <w:r w:rsidRPr="00982DF5">
        <w:rPr>
          <w:noProof/>
          <w:lang w:val="ro-RO"/>
        </w:rPr>
        <w:t xml:space="preserve"> înseamnă orice structură fixată în sau pe pământ;</w:t>
      </w:r>
    </w:p>
    <w:p w:rsidR="00982DF5" w:rsidRPr="00982DF5" w:rsidRDefault="00982DF5" w:rsidP="00982DF5">
      <w:pPr>
        <w:pStyle w:val="stilparagraf"/>
        <w:numPr>
          <w:ilvl w:val="0"/>
          <w:numId w:val="12"/>
        </w:numPr>
        <w:spacing w:before="0" w:beforeAutospacing="0" w:after="0" w:afterAutospacing="0"/>
        <w:jc w:val="both"/>
        <w:rPr>
          <w:noProof/>
          <w:lang w:val="ro-RO"/>
        </w:rPr>
      </w:pPr>
      <w:r w:rsidRPr="00982DF5">
        <w:rPr>
          <w:i/>
          <w:iCs/>
          <w:noProof/>
          <w:lang w:val="ro-RO"/>
        </w:rPr>
        <w:t>livrarea unei construcții noi sau a unei părți din aceasta</w:t>
      </w:r>
      <w:r w:rsidRPr="00982DF5">
        <w:rPr>
          <w:noProof/>
          <w:lang w:val="ro-RO"/>
        </w:rPr>
        <w:t xml:space="preserve"> înseamnă livrarea efectuată cel târziu până la data de 31 decembrie a anului următor anului primei ocupări ori utilizări a construcției sau a unei părți a acesteia, după caz, în urma transformării;</w:t>
      </w:r>
    </w:p>
    <w:p w:rsidR="00982DF5" w:rsidRPr="00982DF5" w:rsidRDefault="00982DF5" w:rsidP="00982DF5">
      <w:pPr>
        <w:pStyle w:val="stilparagraf"/>
        <w:numPr>
          <w:ilvl w:val="0"/>
          <w:numId w:val="12"/>
        </w:numPr>
        <w:spacing w:before="0" w:beforeAutospacing="0" w:after="0" w:afterAutospacing="0"/>
        <w:jc w:val="both"/>
        <w:rPr>
          <w:noProof/>
          <w:lang w:val="ro-RO"/>
        </w:rPr>
      </w:pPr>
      <w:r w:rsidRPr="00982DF5">
        <w:rPr>
          <w:noProof/>
          <w:lang w:val="ro-RO"/>
        </w:rPr>
        <w:t>o construcție nouă cuprinde și orice construcție transformată sau parte transformată a unei construcții, dacă costul transformării, exclusiv taxa, se ridică la minimum 50% din valoarea construcției sau a părții din construcție, exclusiv valoarea terenului, ulterior transformării, respectiv valoarea înregistrată în contabilitate în cazul persoanelor impozabile care au obligativitatea de a conduce evidența contabilă și care nu aplică metoda de evaluare bazată pe cost în conformitate cu Standardele internaționale de raportare financiară, sau valoarea stabilită printr-un raport de expertiză/evaluare, în cazul altor persoane impozabile. în cazul în care se înstrăinează doar o parte din construcție, iar valoarea acesteia și a îmbunătățirilor aferente nu pot fi determinate pe baza datelor din contabilitate, acestea vor fi determinate în baza unui raport de expertiză/evaluare;</w:t>
      </w:r>
      <w:hyperlink r:id="rId24" w:anchor="B292_2f" w:history="1">
        <w:r w:rsidRPr="00982DF5">
          <w:rPr>
            <w:rStyle w:val="Hyperlink"/>
            <w:noProof/>
            <w:lang w:val="ro-RO"/>
          </w:rPr>
          <w:t xml:space="preserve"> Norme metodologice</w:t>
        </w:r>
      </w:hyperlink>
    </w:p>
    <w:p w:rsidR="00982DF5" w:rsidRPr="00982DF5" w:rsidRDefault="00982DF5" w:rsidP="00982DF5">
      <w:pPr>
        <w:pStyle w:val="stilparagraf"/>
        <w:numPr>
          <w:ilvl w:val="0"/>
          <w:numId w:val="4"/>
        </w:numPr>
        <w:spacing w:before="0" w:beforeAutospacing="0" w:after="0" w:afterAutospacing="0"/>
        <w:jc w:val="both"/>
        <w:rPr>
          <w:noProof/>
          <w:lang w:val="ro-RO"/>
        </w:rPr>
      </w:pPr>
      <w:r w:rsidRPr="00982DF5">
        <w:rPr>
          <w:noProof/>
          <w:lang w:val="ro-RO"/>
        </w:rPr>
        <w:t xml:space="preserve">livrările de bunuri care au fost afectate unei activități scutite, în temeiul prezentului articol, dacă taxa aferentă bunurilor respective nu a fost dedusă, precum și livrările de bunuri a căror achiziție a făcut obiectul excluderii dreptului de deducere conform </w:t>
      </w:r>
      <w:hyperlink r:id="rId25" w:anchor="A297" w:history="1">
        <w:r w:rsidRPr="00982DF5">
          <w:rPr>
            <w:rStyle w:val="Hyperlink"/>
            <w:noProof/>
            <w:lang w:val="ro-RO"/>
          </w:rPr>
          <w:t>art. 297</w:t>
        </w:r>
      </w:hyperlink>
      <w:r w:rsidRPr="00982DF5">
        <w:rPr>
          <w:noProof/>
          <w:lang w:val="ro-RO"/>
        </w:rPr>
        <w:t xml:space="preserve"> alin. (7) lit. b) sau al limitării totale a dreptului de deducere conform </w:t>
      </w:r>
      <w:hyperlink r:id="rId26" w:anchor="A298" w:history="1">
        <w:r w:rsidRPr="00982DF5">
          <w:rPr>
            <w:rStyle w:val="Hyperlink"/>
            <w:noProof/>
            <w:lang w:val="ro-RO"/>
          </w:rPr>
          <w:t>art. 298</w:t>
        </w:r>
      </w:hyperlink>
      <w:r w:rsidRPr="00982DF5">
        <w:rPr>
          <w:noProof/>
          <w:lang w:val="ro-RO"/>
        </w:rPr>
        <w:t xml:space="preserve"> . </w:t>
      </w:r>
      <w:hyperlink r:id="rId27" w:anchor="B292_2g" w:history="1">
        <w:r w:rsidRPr="00982DF5">
          <w:rPr>
            <w:rStyle w:val="Hyperlink"/>
            <w:noProof/>
            <w:lang w:val="ro-RO"/>
          </w:rPr>
          <w:t>Norme metodologice</w:t>
        </w:r>
      </w:hyperlink>
    </w:p>
    <w:p w:rsidR="00982DF5" w:rsidRDefault="00982DF5" w:rsidP="00982DF5">
      <w:pPr>
        <w:pStyle w:val="stilparagraf"/>
        <w:spacing w:before="0" w:beforeAutospacing="0" w:after="0" w:afterAutospacing="0"/>
        <w:jc w:val="both"/>
        <w:rPr>
          <w:noProof/>
          <w:lang w:val="ro-RO"/>
        </w:rPr>
      </w:pPr>
    </w:p>
    <w:p w:rsidR="00982DF5" w:rsidRDefault="00982DF5" w:rsidP="00982DF5">
      <w:pPr>
        <w:pStyle w:val="stilparagraf"/>
        <w:spacing w:before="0" w:beforeAutospacing="0" w:after="0" w:afterAutospacing="0"/>
        <w:jc w:val="both"/>
        <w:rPr>
          <w:noProof/>
          <w:lang w:val="ro-RO"/>
        </w:rPr>
      </w:pPr>
    </w:p>
    <w:p w:rsidR="00C01027" w:rsidRPr="00982DF5" w:rsidRDefault="00982DF5" w:rsidP="00982DF5">
      <w:pPr>
        <w:pStyle w:val="stilparagraf"/>
        <w:spacing w:before="0" w:beforeAutospacing="0" w:after="0" w:afterAutospacing="0"/>
        <w:jc w:val="both"/>
        <w:rPr>
          <w:noProof/>
          <w:lang w:val="ro-RO"/>
        </w:rPr>
      </w:pPr>
      <w:r w:rsidRPr="00982DF5">
        <w:rPr>
          <w:b/>
          <w:noProof/>
          <w:lang w:val="ro-RO"/>
        </w:rPr>
        <w:t>(3) Orice persoană impozabilă poate opta pentru taxarea operațiunilor prevăzute la alin. (2) lit. e) și f), în condițiile stabilite prin normele metodologice</w:t>
      </w:r>
      <w:r w:rsidRPr="00982DF5">
        <w:rPr>
          <w:noProof/>
          <w:lang w:val="ro-RO"/>
        </w:rPr>
        <w:t>.</w:t>
      </w:r>
      <w:hyperlink r:id="rId28" w:anchor="B292_3" w:history="1">
        <w:r w:rsidRPr="00982DF5">
          <w:rPr>
            <w:rStyle w:val="Hyperlink"/>
            <w:noProof/>
            <w:lang w:val="ro-RO"/>
          </w:rPr>
          <w:t xml:space="preserve"> Norme metodologice</w:t>
        </w:r>
      </w:hyperlink>
    </w:p>
    <w:sectPr w:rsidR="00C01027" w:rsidRPr="00982DF5" w:rsidSect="00982DF5">
      <w:headerReference w:type="default" r:id="rId29"/>
      <w:pgSz w:w="12240" w:h="15840"/>
      <w:pgMar w:top="144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8CF" w:rsidRDefault="003F78CF" w:rsidP="00982DF5">
      <w:r>
        <w:separator/>
      </w:r>
    </w:p>
  </w:endnote>
  <w:endnote w:type="continuationSeparator" w:id="0">
    <w:p w:rsidR="003F78CF" w:rsidRDefault="003F78CF" w:rsidP="00982D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8CF" w:rsidRDefault="003F78CF" w:rsidP="00982DF5">
      <w:r>
        <w:separator/>
      </w:r>
    </w:p>
  </w:footnote>
  <w:footnote w:type="continuationSeparator" w:id="0">
    <w:p w:rsidR="003F78CF" w:rsidRDefault="003F78CF" w:rsidP="00982D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DF5" w:rsidRPr="00982DF5" w:rsidRDefault="00681AB7" w:rsidP="00982DF5">
    <w:pPr>
      <w:pStyle w:val="Header"/>
      <w:jc w:val="right"/>
      <w:rPr>
        <w:i/>
        <w:sz w:val="18"/>
        <w:szCs w:val="18"/>
      </w:rPr>
    </w:pPr>
    <w:r w:rsidRPr="00681AB7">
      <w:rPr>
        <w:i/>
        <w:sz w:val="18"/>
        <w:szCs w:val="18"/>
      </w:rPr>
      <w:drawing>
        <wp:anchor distT="0" distB="0" distL="114300" distR="114300" simplePos="0" relativeHeight="251658240" behindDoc="1" locked="0" layoutInCell="1" allowOverlap="1">
          <wp:simplePos x="0" y="0"/>
          <wp:positionH relativeFrom="column">
            <wp:posOffset>-76365</wp:posOffset>
          </wp:positionH>
          <wp:positionV relativeFrom="paragraph">
            <wp:posOffset>-99391</wp:posOffset>
          </wp:positionV>
          <wp:extent cx="1768723" cy="302149"/>
          <wp:effectExtent l="19050" t="0" r="2927" b="0"/>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srcRect/>
                  <a:stretch>
                    <a:fillRect/>
                  </a:stretch>
                </pic:blipFill>
                <pic:spPr bwMode="auto">
                  <a:xfrm>
                    <a:off x="0" y="0"/>
                    <a:ext cx="1768723" cy="302149"/>
                  </a:xfrm>
                  <a:prstGeom prst="rect">
                    <a:avLst/>
                  </a:prstGeom>
                  <a:noFill/>
                  <a:ln w="1">
                    <a:noFill/>
                    <a:miter lim="800000"/>
                    <a:headEnd/>
                    <a:tailEnd/>
                  </a:ln>
                </pic:spPr>
              </pic:pic>
            </a:graphicData>
          </a:graphic>
        </wp:anchor>
      </w:drawing>
    </w:r>
    <w:r w:rsidRPr="00681AB7">
      <w:rPr>
        <w:i/>
        <w:sz w:val="18"/>
        <w:szCs w:val="18"/>
      </w:rPr>
      <w:t xml:space="preserve"> </w:t>
    </w:r>
    <w:hyperlink r:id="rId2" w:history="1">
      <w:r w:rsidR="00982DF5" w:rsidRPr="00837B0E">
        <w:rPr>
          <w:rStyle w:val="Hyperlink"/>
          <w:i/>
          <w:sz w:val="18"/>
          <w:szCs w:val="18"/>
        </w:rPr>
        <w:t>www.avocatnet.ro</w:t>
      </w:r>
    </w:hyperlink>
    <w:r w:rsidR="00982DF5">
      <w:rPr>
        <w:i/>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7AE4"/>
    <w:multiLevelType w:val="hybridMultilevel"/>
    <w:tmpl w:val="C2AE2B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B6D1C"/>
    <w:multiLevelType w:val="hybridMultilevel"/>
    <w:tmpl w:val="252C728E"/>
    <w:lvl w:ilvl="0" w:tplc="8924CE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006FB6"/>
    <w:multiLevelType w:val="hybridMultilevel"/>
    <w:tmpl w:val="10F4A9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350A3"/>
    <w:multiLevelType w:val="hybridMultilevel"/>
    <w:tmpl w:val="84DEAC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AE5C8E"/>
    <w:multiLevelType w:val="hybridMultilevel"/>
    <w:tmpl w:val="F74470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261E01"/>
    <w:multiLevelType w:val="hybridMultilevel"/>
    <w:tmpl w:val="6E401F44"/>
    <w:lvl w:ilvl="0" w:tplc="4F68D32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973914"/>
    <w:multiLevelType w:val="hybridMultilevel"/>
    <w:tmpl w:val="4F1C4B14"/>
    <w:lvl w:ilvl="0" w:tplc="BA6AF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273C87"/>
    <w:multiLevelType w:val="hybridMultilevel"/>
    <w:tmpl w:val="451A8200"/>
    <w:lvl w:ilvl="0" w:tplc="BF84D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9175B2"/>
    <w:multiLevelType w:val="hybridMultilevel"/>
    <w:tmpl w:val="066483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EF497F"/>
    <w:multiLevelType w:val="hybridMultilevel"/>
    <w:tmpl w:val="B7220A60"/>
    <w:lvl w:ilvl="0" w:tplc="A6FEFB5C">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D00D14"/>
    <w:multiLevelType w:val="hybridMultilevel"/>
    <w:tmpl w:val="335EF7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ED44BC"/>
    <w:multiLevelType w:val="hybridMultilevel"/>
    <w:tmpl w:val="C4848D14"/>
    <w:lvl w:ilvl="0" w:tplc="90CA211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E2784A"/>
    <w:multiLevelType w:val="hybridMultilevel"/>
    <w:tmpl w:val="18108F4E"/>
    <w:lvl w:ilvl="0" w:tplc="BE764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955E6D"/>
    <w:multiLevelType w:val="hybridMultilevel"/>
    <w:tmpl w:val="8C38DA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11"/>
  </w:num>
  <w:num w:numId="5">
    <w:abstractNumId w:val="2"/>
  </w:num>
  <w:num w:numId="6">
    <w:abstractNumId w:val="7"/>
  </w:num>
  <w:num w:numId="7">
    <w:abstractNumId w:val="13"/>
  </w:num>
  <w:num w:numId="8">
    <w:abstractNumId w:val="5"/>
  </w:num>
  <w:num w:numId="9">
    <w:abstractNumId w:val="10"/>
  </w:num>
  <w:num w:numId="10">
    <w:abstractNumId w:val="1"/>
  </w:num>
  <w:num w:numId="11">
    <w:abstractNumId w:val="3"/>
  </w:num>
  <w:num w:numId="12">
    <w:abstractNumId w:val="12"/>
  </w:num>
  <w:num w:numId="13">
    <w:abstractNumId w:val="4"/>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982DF5"/>
    <w:rsid w:val="00003BE0"/>
    <w:rsid w:val="00005FCD"/>
    <w:rsid w:val="0000723C"/>
    <w:rsid w:val="00017DB8"/>
    <w:rsid w:val="000219A9"/>
    <w:rsid w:val="0002210F"/>
    <w:rsid w:val="00024C12"/>
    <w:rsid w:val="00030DAB"/>
    <w:rsid w:val="00031293"/>
    <w:rsid w:val="0003471C"/>
    <w:rsid w:val="00037BC5"/>
    <w:rsid w:val="00040289"/>
    <w:rsid w:val="00041254"/>
    <w:rsid w:val="00043581"/>
    <w:rsid w:val="0004766A"/>
    <w:rsid w:val="00047AD3"/>
    <w:rsid w:val="00054013"/>
    <w:rsid w:val="000548A9"/>
    <w:rsid w:val="00056731"/>
    <w:rsid w:val="00060685"/>
    <w:rsid w:val="00062146"/>
    <w:rsid w:val="00063B58"/>
    <w:rsid w:val="0006540E"/>
    <w:rsid w:val="00071B94"/>
    <w:rsid w:val="00072AEE"/>
    <w:rsid w:val="0007571B"/>
    <w:rsid w:val="00076857"/>
    <w:rsid w:val="00076C8A"/>
    <w:rsid w:val="00081116"/>
    <w:rsid w:val="0008371D"/>
    <w:rsid w:val="00085CF1"/>
    <w:rsid w:val="0008683F"/>
    <w:rsid w:val="000A2C21"/>
    <w:rsid w:val="000A4FC6"/>
    <w:rsid w:val="000A5978"/>
    <w:rsid w:val="000A6786"/>
    <w:rsid w:val="000A6CBF"/>
    <w:rsid w:val="000A7C33"/>
    <w:rsid w:val="000B1BC4"/>
    <w:rsid w:val="000B21A8"/>
    <w:rsid w:val="000B24D6"/>
    <w:rsid w:val="000B370C"/>
    <w:rsid w:val="000B4588"/>
    <w:rsid w:val="000B7173"/>
    <w:rsid w:val="000C0CDC"/>
    <w:rsid w:val="000C12BC"/>
    <w:rsid w:val="000C4434"/>
    <w:rsid w:val="000C79A7"/>
    <w:rsid w:val="000D0BB4"/>
    <w:rsid w:val="000D11D4"/>
    <w:rsid w:val="000D132D"/>
    <w:rsid w:val="000D2553"/>
    <w:rsid w:val="000D42F4"/>
    <w:rsid w:val="000D61CC"/>
    <w:rsid w:val="000D6D63"/>
    <w:rsid w:val="000D7A08"/>
    <w:rsid w:val="000E079B"/>
    <w:rsid w:val="000E389F"/>
    <w:rsid w:val="000E5916"/>
    <w:rsid w:val="000E5C56"/>
    <w:rsid w:val="000E7254"/>
    <w:rsid w:val="000E7C10"/>
    <w:rsid w:val="000F2768"/>
    <w:rsid w:val="00104A8C"/>
    <w:rsid w:val="001071D9"/>
    <w:rsid w:val="00110298"/>
    <w:rsid w:val="00110BF9"/>
    <w:rsid w:val="00115456"/>
    <w:rsid w:val="001162CD"/>
    <w:rsid w:val="00120087"/>
    <w:rsid w:val="00120EC7"/>
    <w:rsid w:val="001224B4"/>
    <w:rsid w:val="001231E8"/>
    <w:rsid w:val="00124091"/>
    <w:rsid w:val="001339B3"/>
    <w:rsid w:val="001356C1"/>
    <w:rsid w:val="001364D0"/>
    <w:rsid w:val="00137E66"/>
    <w:rsid w:val="001437CC"/>
    <w:rsid w:val="001533A1"/>
    <w:rsid w:val="00153836"/>
    <w:rsid w:val="00153BC3"/>
    <w:rsid w:val="00153F5D"/>
    <w:rsid w:val="001559B6"/>
    <w:rsid w:val="00161959"/>
    <w:rsid w:val="00161FCC"/>
    <w:rsid w:val="00165721"/>
    <w:rsid w:val="001658FE"/>
    <w:rsid w:val="0017117B"/>
    <w:rsid w:val="00180FE2"/>
    <w:rsid w:val="00183617"/>
    <w:rsid w:val="00184527"/>
    <w:rsid w:val="00184955"/>
    <w:rsid w:val="00194288"/>
    <w:rsid w:val="001962A9"/>
    <w:rsid w:val="00196CC5"/>
    <w:rsid w:val="00197A20"/>
    <w:rsid w:val="001A0564"/>
    <w:rsid w:val="001A0D56"/>
    <w:rsid w:val="001A4A7C"/>
    <w:rsid w:val="001A7D0D"/>
    <w:rsid w:val="001B0EE1"/>
    <w:rsid w:val="001B11DE"/>
    <w:rsid w:val="001B7142"/>
    <w:rsid w:val="001B7CA5"/>
    <w:rsid w:val="001C1C27"/>
    <w:rsid w:val="001C3CBB"/>
    <w:rsid w:val="001C4F8F"/>
    <w:rsid w:val="001C530C"/>
    <w:rsid w:val="001C53EE"/>
    <w:rsid w:val="001C5FED"/>
    <w:rsid w:val="001C6EA7"/>
    <w:rsid w:val="001C79D8"/>
    <w:rsid w:val="001D0529"/>
    <w:rsid w:val="001D4270"/>
    <w:rsid w:val="001D5296"/>
    <w:rsid w:val="001E458F"/>
    <w:rsid w:val="001E71AB"/>
    <w:rsid w:val="001F06CC"/>
    <w:rsid w:val="001F24A8"/>
    <w:rsid w:val="001F3054"/>
    <w:rsid w:val="001F37E6"/>
    <w:rsid w:val="001F4160"/>
    <w:rsid w:val="001F663C"/>
    <w:rsid w:val="00201E11"/>
    <w:rsid w:val="00203DBD"/>
    <w:rsid w:val="00205135"/>
    <w:rsid w:val="00205DB6"/>
    <w:rsid w:val="00206917"/>
    <w:rsid w:val="00206A49"/>
    <w:rsid w:val="00212200"/>
    <w:rsid w:val="00212BDA"/>
    <w:rsid w:val="00215A7F"/>
    <w:rsid w:val="00216565"/>
    <w:rsid w:val="0021727B"/>
    <w:rsid w:val="00221542"/>
    <w:rsid w:val="00225C1E"/>
    <w:rsid w:val="002307C3"/>
    <w:rsid w:val="0023164C"/>
    <w:rsid w:val="00233598"/>
    <w:rsid w:val="0023458F"/>
    <w:rsid w:val="00236B3F"/>
    <w:rsid w:val="002378F3"/>
    <w:rsid w:val="0024046F"/>
    <w:rsid w:val="002414AB"/>
    <w:rsid w:val="00241BD5"/>
    <w:rsid w:val="00242D1D"/>
    <w:rsid w:val="002437D9"/>
    <w:rsid w:val="00246992"/>
    <w:rsid w:val="00247D89"/>
    <w:rsid w:val="002540E4"/>
    <w:rsid w:val="00254D73"/>
    <w:rsid w:val="00257A48"/>
    <w:rsid w:val="002632D8"/>
    <w:rsid w:val="00265864"/>
    <w:rsid w:val="00265B3A"/>
    <w:rsid w:val="002716CA"/>
    <w:rsid w:val="00271E28"/>
    <w:rsid w:val="00272374"/>
    <w:rsid w:val="00275376"/>
    <w:rsid w:val="002809A0"/>
    <w:rsid w:val="002832F7"/>
    <w:rsid w:val="00284EF6"/>
    <w:rsid w:val="002871B4"/>
    <w:rsid w:val="00293D7B"/>
    <w:rsid w:val="0029459D"/>
    <w:rsid w:val="00294BF2"/>
    <w:rsid w:val="00294FF5"/>
    <w:rsid w:val="002A0246"/>
    <w:rsid w:val="002A2157"/>
    <w:rsid w:val="002A2E23"/>
    <w:rsid w:val="002A51A7"/>
    <w:rsid w:val="002B7F06"/>
    <w:rsid w:val="002C0C6F"/>
    <w:rsid w:val="002C2B01"/>
    <w:rsid w:val="002C2E2D"/>
    <w:rsid w:val="002C5D6D"/>
    <w:rsid w:val="002C7F49"/>
    <w:rsid w:val="002D1086"/>
    <w:rsid w:val="002D5F28"/>
    <w:rsid w:val="002D73E8"/>
    <w:rsid w:val="002E344E"/>
    <w:rsid w:val="002E424E"/>
    <w:rsid w:val="002E66DA"/>
    <w:rsid w:val="002F0C51"/>
    <w:rsid w:val="002F2346"/>
    <w:rsid w:val="002F2F89"/>
    <w:rsid w:val="002F4061"/>
    <w:rsid w:val="003033DF"/>
    <w:rsid w:val="003047D5"/>
    <w:rsid w:val="00307402"/>
    <w:rsid w:val="0030756B"/>
    <w:rsid w:val="00316810"/>
    <w:rsid w:val="00323B8D"/>
    <w:rsid w:val="003252F8"/>
    <w:rsid w:val="00326348"/>
    <w:rsid w:val="003274A3"/>
    <w:rsid w:val="00330A53"/>
    <w:rsid w:val="003323FF"/>
    <w:rsid w:val="00334BCD"/>
    <w:rsid w:val="003361FB"/>
    <w:rsid w:val="00337AE1"/>
    <w:rsid w:val="00342011"/>
    <w:rsid w:val="003451BA"/>
    <w:rsid w:val="00346DCE"/>
    <w:rsid w:val="00351AB0"/>
    <w:rsid w:val="0035703B"/>
    <w:rsid w:val="00361ED6"/>
    <w:rsid w:val="003673F7"/>
    <w:rsid w:val="003701D8"/>
    <w:rsid w:val="00371A22"/>
    <w:rsid w:val="0037237E"/>
    <w:rsid w:val="00372AE9"/>
    <w:rsid w:val="0037501A"/>
    <w:rsid w:val="00377B1E"/>
    <w:rsid w:val="0038004E"/>
    <w:rsid w:val="00380968"/>
    <w:rsid w:val="00380B5B"/>
    <w:rsid w:val="00380E72"/>
    <w:rsid w:val="00384DA2"/>
    <w:rsid w:val="003864B3"/>
    <w:rsid w:val="003925FC"/>
    <w:rsid w:val="003A1ABE"/>
    <w:rsid w:val="003A76D9"/>
    <w:rsid w:val="003B3104"/>
    <w:rsid w:val="003B3C26"/>
    <w:rsid w:val="003C1221"/>
    <w:rsid w:val="003C1D6A"/>
    <w:rsid w:val="003C31B7"/>
    <w:rsid w:val="003C3F84"/>
    <w:rsid w:val="003C4A26"/>
    <w:rsid w:val="003D1387"/>
    <w:rsid w:val="003D6616"/>
    <w:rsid w:val="003D6F0C"/>
    <w:rsid w:val="003E2142"/>
    <w:rsid w:val="003F032F"/>
    <w:rsid w:val="003F26D8"/>
    <w:rsid w:val="003F4ADC"/>
    <w:rsid w:val="003F56D5"/>
    <w:rsid w:val="003F78CF"/>
    <w:rsid w:val="00402593"/>
    <w:rsid w:val="004035EA"/>
    <w:rsid w:val="004037BD"/>
    <w:rsid w:val="00406C30"/>
    <w:rsid w:val="00407B60"/>
    <w:rsid w:val="00411D9B"/>
    <w:rsid w:val="0041393E"/>
    <w:rsid w:val="00420AE7"/>
    <w:rsid w:val="004233FF"/>
    <w:rsid w:val="004236B9"/>
    <w:rsid w:val="004244AB"/>
    <w:rsid w:val="004260A0"/>
    <w:rsid w:val="00427632"/>
    <w:rsid w:val="0043202B"/>
    <w:rsid w:val="00436A93"/>
    <w:rsid w:val="004407CD"/>
    <w:rsid w:val="004419E7"/>
    <w:rsid w:val="00446674"/>
    <w:rsid w:val="004478D9"/>
    <w:rsid w:val="0044796F"/>
    <w:rsid w:val="0045153F"/>
    <w:rsid w:val="0045559A"/>
    <w:rsid w:val="004557C0"/>
    <w:rsid w:val="0046539C"/>
    <w:rsid w:val="0046542A"/>
    <w:rsid w:val="00470382"/>
    <w:rsid w:val="00470934"/>
    <w:rsid w:val="00472611"/>
    <w:rsid w:val="00474BBC"/>
    <w:rsid w:val="0047535F"/>
    <w:rsid w:val="0047567B"/>
    <w:rsid w:val="00480344"/>
    <w:rsid w:val="004819CA"/>
    <w:rsid w:val="00481A3B"/>
    <w:rsid w:val="00481AD9"/>
    <w:rsid w:val="00481F0D"/>
    <w:rsid w:val="00482C50"/>
    <w:rsid w:val="0048464C"/>
    <w:rsid w:val="0048526B"/>
    <w:rsid w:val="00487E64"/>
    <w:rsid w:val="00491799"/>
    <w:rsid w:val="00495292"/>
    <w:rsid w:val="004A535E"/>
    <w:rsid w:val="004A7105"/>
    <w:rsid w:val="004A7337"/>
    <w:rsid w:val="004A7F12"/>
    <w:rsid w:val="004B03AC"/>
    <w:rsid w:val="004B1197"/>
    <w:rsid w:val="004B25BC"/>
    <w:rsid w:val="004C08FA"/>
    <w:rsid w:val="004C1845"/>
    <w:rsid w:val="004C2488"/>
    <w:rsid w:val="004C5018"/>
    <w:rsid w:val="004D0933"/>
    <w:rsid w:val="004D1620"/>
    <w:rsid w:val="004D2628"/>
    <w:rsid w:val="004D3722"/>
    <w:rsid w:val="004D6113"/>
    <w:rsid w:val="004E09D2"/>
    <w:rsid w:val="004E1C99"/>
    <w:rsid w:val="004E3495"/>
    <w:rsid w:val="004E5678"/>
    <w:rsid w:val="004E5786"/>
    <w:rsid w:val="004E6070"/>
    <w:rsid w:val="004F0C07"/>
    <w:rsid w:val="004F1394"/>
    <w:rsid w:val="004F33A3"/>
    <w:rsid w:val="004F362B"/>
    <w:rsid w:val="004F459B"/>
    <w:rsid w:val="004F4DCF"/>
    <w:rsid w:val="004F4EB2"/>
    <w:rsid w:val="004F6356"/>
    <w:rsid w:val="004F6822"/>
    <w:rsid w:val="00500685"/>
    <w:rsid w:val="0050272B"/>
    <w:rsid w:val="0050324C"/>
    <w:rsid w:val="005033D6"/>
    <w:rsid w:val="00504378"/>
    <w:rsid w:val="005043A9"/>
    <w:rsid w:val="00504B1C"/>
    <w:rsid w:val="00504F9E"/>
    <w:rsid w:val="00504FD7"/>
    <w:rsid w:val="0050565F"/>
    <w:rsid w:val="005058E3"/>
    <w:rsid w:val="005071E6"/>
    <w:rsid w:val="00511916"/>
    <w:rsid w:val="005122A8"/>
    <w:rsid w:val="00521352"/>
    <w:rsid w:val="005213C8"/>
    <w:rsid w:val="00522A5E"/>
    <w:rsid w:val="0052422C"/>
    <w:rsid w:val="005268C3"/>
    <w:rsid w:val="00527221"/>
    <w:rsid w:val="005358AB"/>
    <w:rsid w:val="00545528"/>
    <w:rsid w:val="0055055D"/>
    <w:rsid w:val="00550D32"/>
    <w:rsid w:val="00552809"/>
    <w:rsid w:val="00554781"/>
    <w:rsid w:val="0055787D"/>
    <w:rsid w:val="00557A18"/>
    <w:rsid w:val="00561535"/>
    <w:rsid w:val="0057049F"/>
    <w:rsid w:val="00575F7B"/>
    <w:rsid w:val="0057604F"/>
    <w:rsid w:val="005838FB"/>
    <w:rsid w:val="00590C60"/>
    <w:rsid w:val="00591CDB"/>
    <w:rsid w:val="005926DD"/>
    <w:rsid w:val="00594A98"/>
    <w:rsid w:val="00596D51"/>
    <w:rsid w:val="005A1490"/>
    <w:rsid w:val="005A3138"/>
    <w:rsid w:val="005A537D"/>
    <w:rsid w:val="005A709D"/>
    <w:rsid w:val="005B30F1"/>
    <w:rsid w:val="005C1177"/>
    <w:rsid w:val="005C16EE"/>
    <w:rsid w:val="005C2A5C"/>
    <w:rsid w:val="005C5EB1"/>
    <w:rsid w:val="005C683C"/>
    <w:rsid w:val="005C7D57"/>
    <w:rsid w:val="005D3068"/>
    <w:rsid w:val="005D31B8"/>
    <w:rsid w:val="005D75BA"/>
    <w:rsid w:val="005E49B0"/>
    <w:rsid w:val="005F02ED"/>
    <w:rsid w:val="005F21D6"/>
    <w:rsid w:val="005F21DB"/>
    <w:rsid w:val="005F3A84"/>
    <w:rsid w:val="005F3AC0"/>
    <w:rsid w:val="005F5BE0"/>
    <w:rsid w:val="005F5FF7"/>
    <w:rsid w:val="006014C1"/>
    <w:rsid w:val="00601882"/>
    <w:rsid w:val="0061002F"/>
    <w:rsid w:val="00610439"/>
    <w:rsid w:val="00617E72"/>
    <w:rsid w:val="0062367F"/>
    <w:rsid w:val="00630EA8"/>
    <w:rsid w:val="00631B19"/>
    <w:rsid w:val="00632D01"/>
    <w:rsid w:val="00637473"/>
    <w:rsid w:val="00637A55"/>
    <w:rsid w:val="00643BD0"/>
    <w:rsid w:val="00644FB6"/>
    <w:rsid w:val="006500C5"/>
    <w:rsid w:val="00651FE6"/>
    <w:rsid w:val="00653B92"/>
    <w:rsid w:val="00655256"/>
    <w:rsid w:val="00661C8F"/>
    <w:rsid w:val="006632F9"/>
    <w:rsid w:val="00666B28"/>
    <w:rsid w:val="00681AB7"/>
    <w:rsid w:val="006844D7"/>
    <w:rsid w:val="006850AA"/>
    <w:rsid w:val="00692458"/>
    <w:rsid w:val="00693B48"/>
    <w:rsid w:val="0069447F"/>
    <w:rsid w:val="0069509C"/>
    <w:rsid w:val="00697792"/>
    <w:rsid w:val="00697D18"/>
    <w:rsid w:val="006A2AFB"/>
    <w:rsid w:val="006A3526"/>
    <w:rsid w:val="006A5FF2"/>
    <w:rsid w:val="006A7FD4"/>
    <w:rsid w:val="006B5BAF"/>
    <w:rsid w:val="006C2893"/>
    <w:rsid w:val="006C6FA6"/>
    <w:rsid w:val="006C70DA"/>
    <w:rsid w:val="006D05FD"/>
    <w:rsid w:val="006D4D7B"/>
    <w:rsid w:val="006D5BC1"/>
    <w:rsid w:val="006D64F4"/>
    <w:rsid w:val="006D7470"/>
    <w:rsid w:val="006D764B"/>
    <w:rsid w:val="006E69F3"/>
    <w:rsid w:val="006E772F"/>
    <w:rsid w:val="006F79D6"/>
    <w:rsid w:val="006F7B84"/>
    <w:rsid w:val="007024B3"/>
    <w:rsid w:val="00703EE4"/>
    <w:rsid w:val="00704EEE"/>
    <w:rsid w:val="007072DB"/>
    <w:rsid w:val="00707EBD"/>
    <w:rsid w:val="0071008D"/>
    <w:rsid w:val="00715A90"/>
    <w:rsid w:val="00722103"/>
    <w:rsid w:val="007242D8"/>
    <w:rsid w:val="00724B20"/>
    <w:rsid w:val="00726E14"/>
    <w:rsid w:val="00730BA9"/>
    <w:rsid w:val="00731AA2"/>
    <w:rsid w:val="00733A3D"/>
    <w:rsid w:val="00736865"/>
    <w:rsid w:val="00736C92"/>
    <w:rsid w:val="007432AA"/>
    <w:rsid w:val="00746EE6"/>
    <w:rsid w:val="00754F10"/>
    <w:rsid w:val="0075549A"/>
    <w:rsid w:val="00761325"/>
    <w:rsid w:val="00764A1A"/>
    <w:rsid w:val="007659A1"/>
    <w:rsid w:val="007663E6"/>
    <w:rsid w:val="00767BAC"/>
    <w:rsid w:val="007729EE"/>
    <w:rsid w:val="00773677"/>
    <w:rsid w:val="007746EB"/>
    <w:rsid w:val="007767AD"/>
    <w:rsid w:val="00781E7D"/>
    <w:rsid w:val="0078775C"/>
    <w:rsid w:val="007A11FF"/>
    <w:rsid w:val="007A31D2"/>
    <w:rsid w:val="007A3C7B"/>
    <w:rsid w:val="007A64ED"/>
    <w:rsid w:val="007B0503"/>
    <w:rsid w:val="007B548C"/>
    <w:rsid w:val="007B5669"/>
    <w:rsid w:val="007B656B"/>
    <w:rsid w:val="007B7B4C"/>
    <w:rsid w:val="007C1176"/>
    <w:rsid w:val="007C2F0E"/>
    <w:rsid w:val="007C3A58"/>
    <w:rsid w:val="007C6D4E"/>
    <w:rsid w:val="007C7BA9"/>
    <w:rsid w:val="007D17C8"/>
    <w:rsid w:val="007D1BA4"/>
    <w:rsid w:val="007D5914"/>
    <w:rsid w:val="007F2319"/>
    <w:rsid w:val="007F2D2A"/>
    <w:rsid w:val="00801026"/>
    <w:rsid w:val="008023D7"/>
    <w:rsid w:val="00803896"/>
    <w:rsid w:val="00803CD4"/>
    <w:rsid w:val="008040BF"/>
    <w:rsid w:val="00805E15"/>
    <w:rsid w:val="008061A4"/>
    <w:rsid w:val="00807A89"/>
    <w:rsid w:val="00813F70"/>
    <w:rsid w:val="008162B4"/>
    <w:rsid w:val="00817786"/>
    <w:rsid w:val="00825776"/>
    <w:rsid w:val="00830453"/>
    <w:rsid w:val="008313DE"/>
    <w:rsid w:val="008316A3"/>
    <w:rsid w:val="00833661"/>
    <w:rsid w:val="00835C61"/>
    <w:rsid w:val="00840015"/>
    <w:rsid w:val="0084388D"/>
    <w:rsid w:val="00843AE7"/>
    <w:rsid w:val="00846763"/>
    <w:rsid w:val="00847A21"/>
    <w:rsid w:val="00852E88"/>
    <w:rsid w:val="00857641"/>
    <w:rsid w:val="008600B0"/>
    <w:rsid w:val="008601A5"/>
    <w:rsid w:val="0086218E"/>
    <w:rsid w:val="008636B4"/>
    <w:rsid w:val="00875338"/>
    <w:rsid w:val="00881A1B"/>
    <w:rsid w:val="00885F2D"/>
    <w:rsid w:val="008904DD"/>
    <w:rsid w:val="00890B89"/>
    <w:rsid w:val="00896226"/>
    <w:rsid w:val="0089693E"/>
    <w:rsid w:val="008976AB"/>
    <w:rsid w:val="008A02E4"/>
    <w:rsid w:val="008A3E87"/>
    <w:rsid w:val="008A400D"/>
    <w:rsid w:val="008A401C"/>
    <w:rsid w:val="008A40FF"/>
    <w:rsid w:val="008A41E6"/>
    <w:rsid w:val="008A4D45"/>
    <w:rsid w:val="008A62BA"/>
    <w:rsid w:val="008A6FA9"/>
    <w:rsid w:val="008A7B12"/>
    <w:rsid w:val="008B00DA"/>
    <w:rsid w:val="008B11F6"/>
    <w:rsid w:val="008B12A2"/>
    <w:rsid w:val="008B1A96"/>
    <w:rsid w:val="008B5B81"/>
    <w:rsid w:val="008B621D"/>
    <w:rsid w:val="008B7D7D"/>
    <w:rsid w:val="008C1BD9"/>
    <w:rsid w:val="008C22F7"/>
    <w:rsid w:val="008C6144"/>
    <w:rsid w:val="008D237C"/>
    <w:rsid w:val="008E1FB9"/>
    <w:rsid w:val="008E2539"/>
    <w:rsid w:val="008E3669"/>
    <w:rsid w:val="008E4DBA"/>
    <w:rsid w:val="008E4F02"/>
    <w:rsid w:val="008F25D3"/>
    <w:rsid w:val="008F376D"/>
    <w:rsid w:val="008F4C86"/>
    <w:rsid w:val="008F5D52"/>
    <w:rsid w:val="008F6305"/>
    <w:rsid w:val="008F79C3"/>
    <w:rsid w:val="009009BA"/>
    <w:rsid w:val="00901841"/>
    <w:rsid w:val="00902EF8"/>
    <w:rsid w:val="00905CA0"/>
    <w:rsid w:val="00905CDA"/>
    <w:rsid w:val="00921F0F"/>
    <w:rsid w:val="00922A0A"/>
    <w:rsid w:val="00922B93"/>
    <w:rsid w:val="009259F0"/>
    <w:rsid w:val="0092736F"/>
    <w:rsid w:val="0092743E"/>
    <w:rsid w:val="009343AA"/>
    <w:rsid w:val="00934B27"/>
    <w:rsid w:val="00934C88"/>
    <w:rsid w:val="0093610C"/>
    <w:rsid w:val="00936542"/>
    <w:rsid w:val="009372DD"/>
    <w:rsid w:val="00937DEB"/>
    <w:rsid w:val="00941BBB"/>
    <w:rsid w:val="00943943"/>
    <w:rsid w:val="009460BE"/>
    <w:rsid w:val="009470B5"/>
    <w:rsid w:val="009538CA"/>
    <w:rsid w:val="00957A44"/>
    <w:rsid w:val="00961B75"/>
    <w:rsid w:val="00963A3A"/>
    <w:rsid w:val="00964DBE"/>
    <w:rsid w:val="00967786"/>
    <w:rsid w:val="00970E6C"/>
    <w:rsid w:val="0097260F"/>
    <w:rsid w:val="009751A1"/>
    <w:rsid w:val="00975D9C"/>
    <w:rsid w:val="0098064C"/>
    <w:rsid w:val="00982DF5"/>
    <w:rsid w:val="00984DAB"/>
    <w:rsid w:val="00987725"/>
    <w:rsid w:val="00990FF2"/>
    <w:rsid w:val="00997EEB"/>
    <w:rsid w:val="009A1B2B"/>
    <w:rsid w:val="009A2501"/>
    <w:rsid w:val="009A372F"/>
    <w:rsid w:val="009A3923"/>
    <w:rsid w:val="009A3E58"/>
    <w:rsid w:val="009A3EAE"/>
    <w:rsid w:val="009A4E0E"/>
    <w:rsid w:val="009B08AC"/>
    <w:rsid w:val="009B1C65"/>
    <w:rsid w:val="009C0392"/>
    <w:rsid w:val="009C0EA8"/>
    <w:rsid w:val="009C100F"/>
    <w:rsid w:val="009C2218"/>
    <w:rsid w:val="009C3759"/>
    <w:rsid w:val="009C41DF"/>
    <w:rsid w:val="009C4729"/>
    <w:rsid w:val="009C5DD4"/>
    <w:rsid w:val="009C64C9"/>
    <w:rsid w:val="009C74F5"/>
    <w:rsid w:val="009D6C92"/>
    <w:rsid w:val="009E1C65"/>
    <w:rsid w:val="009E3732"/>
    <w:rsid w:val="009F02B5"/>
    <w:rsid w:val="009F6944"/>
    <w:rsid w:val="00A034E2"/>
    <w:rsid w:val="00A058C1"/>
    <w:rsid w:val="00A067FD"/>
    <w:rsid w:val="00A068EB"/>
    <w:rsid w:val="00A06FC0"/>
    <w:rsid w:val="00A07C04"/>
    <w:rsid w:val="00A21823"/>
    <w:rsid w:val="00A22048"/>
    <w:rsid w:val="00A220B4"/>
    <w:rsid w:val="00A239CA"/>
    <w:rsid w:val="00A256FC"/>
    <w:rsid w:val="00A2725C"/>
    <w:rsid w:val="00A27A85"/>
    <w:rsid w:val="00A32CCE"/>
    <w:rsid w:val="00A349DB"/>
    <w:rsid w:val="00A355AE"/>
    <w:rsid w:val="00A3751E"/>
    <w:rsid w:val="00A41377"/>
    <w:rsid w:val="00A41BDF"/>
    <w:rsid w:val="00A44EE4"/>
    <w:rsid w:val="00A45346"/>
    <w:rsid w:val="00A47BFD"/>
    <w:rsid w:val="00A514DD"/>
    <w:rsid w:val="00A522CA"/>
    <w:rsid w:val="00A557FB"/>
    <w:rsid w:val="00A60076"/>
    <w:rsid w:val="00A6112E"/>
    <w:rsid w:val="00A61487"/>
    <w:rsid w:val="00A66F47"/>
    <w:rsid w:val="00A84432"/>
    <w:rsid w:val="00A846BE"/>
    <w:rsid w:val="00A848CB"/>
    <w:rsid w:val="00A8519D"/>
    <w:rsid w:val="00A93235"/>
    <w:rsid w:val="00A935AF"/>
    <w:rsid w:val="00A94206"/>
    <w:rsid w:val="00A9615C"/>
    <w:rsid w:val="00A96ADA"/>
    <w:rsid w:val="00AA189B"/>
    <w:rsid w:val="00AA224B"/>
    <w:rsid w:val="00AA2A5E"/>
    <w:rsid w:val="00AA2FC9"/>
    <w:rsid w:val="00AA4AD7"/>
    <w:rsid w:val="00AA5A9D"/>
    <w:rsid w:val="00AA749E"/>
    <w:rsid w:val="00AB41FB"/>
    <w:rsid w:val="00AB75EB"/>
    <w:rsid w:val="00AB79FE"/>
    <w:rsid w:val="00AC3B46"/>
    <w:rsid w:val="00AC4F79"/>
    <w:rsid w:val="00AC5BB6"/>
    <w:rsid w:val="00AC7D1B"/>
    <w:rsid w:val="00AD20D1"/>
    <w:rsid w:val="00AE0AC8"/>
    <w:rsid w:val="00AE3A05"/>
    <w:rsid w:val="00AE588E"/>
    <w:rsid w:val="00AE7408"/>
    <w:rsid w:val="00AF2210"/>
    <w:rsid w:val="00AF4DC6"/>
    <w:rsid w:val="00AF6259"/>
    <w:rsid w:val="00AF6B04"/>
    <w:rsid w:val="00AF7492"/>
    <w:rsid w:val="00B06732"/>
    <w:rsid w:val="00B06D66"/>
    <w:rsid w:val="00B075E5"/>
    <w:rsid w:val="00B1189C"/>
    <w:rsid w:val="00B17A84"/>
    <w:rsid w:val="00B17B77"/>
    <w:rsid w:val="00B17F3A"/>
    <w:rsid w:val="00B20E18"/>
    <w:rsid w:val="00B2233F"/>
    <w:rsid w:val="00B226A7"/>
    <w:rsid w:val="00B22C9D"/>
    <w:rsid w:val="00B25293"/>
    <w:rsid w:val="00B252AB"/>
    <w:rsid w:val="00B2632E"/>
    <w:rsid w:val="00B26917"/>
    <w:rsid w:val="00B30D47"/>
    <w:rsid w:val="00B34C85"/>
    <w:rsid w:val="00B358B9"/>
    <w:rsid w:val="00B35DC4"/>
    <w:rsid w:val="00B37724"/>
    <w:rsid w:val="00B400F6"/>
    <w:rsid w:val="00B4016D"/>
    <w:rsid w:val="00B41F29"/>
    <w:rsid w:val="00B426AC"/>
    <w:rsid w:val="00B4320F"/>
    <w:rsid w:val="00B4329C"/>
    <w:rsid w:val="00B447CC"/>
    <w:rsid w:val="00B50BA5"/>
    <w:rsid w:val="00B51312"/>
    <w:rsid w:val="00B51F94"/>
    <w:rsid w:val="00B5500C"/>
    <w:rsid w:val="00B56DC7"/>
    <w:rsid w:val="00B57293"/>
    <w:rsid w:val="00B57979"/>
    <w:rsid w:val="00B62135"/>
    <w:rsid w:val="00B7203B"/>
    <w:rsid w:val="00B72C16"/>
    <w:rsid w:val="00B73ECB"/>
    <w:rsid w:val="00B74DB6"/>
    <w:rsid w:val="00B760A6"/>
    <w:rsid w:val="00B8320E"/>
    <w:rsid w:val="00B83AE4"/>
    <w:rsid w:val="00B8678A"/>
    <w:rsid w:val="00B8783D"/>
    <w:rsid w:val="00B87CC6"/>
    <w:rsid w:val="00B95043"/>
    <w:rsid w:val="00B97650"/>
    <w:rsid w:val="00BA0114"/>
    <w:rsid w:val="00BA0E58"/>
    <w:rsid w:val="00BA1CD5"/>
    <w:rsid w:val="00BA3E62"/>
    <w:rsid w:val="00BA6077"/>
    <w:rsid w:val="00BA7515"/>
    <w:rsid w:val="00BA7B7B"/>
    <w:rsid w:val="00BB264E"/>
    <w:rsid w:val="00BB46BD"/>
    <w:rsid w:val="00BB79EC"/>
    <w:rsid w:val="00BB7B50"/>
    <w:rsid w:val="00BD02A2"/>
    <w:rsid w:val="00BD3A97"/>
    <w:rsid w:val="00BD4A2F"/>
    <w:rsid w:val="00BD4E23"/>
    <w:rsid w:val="00BD60A2"/>
    <w:rsid w:val="00BD6DC2"/>
    <w:rsid w:val="00BE0FFA"/>
    <w:rsid w:val="00BE6465"/>
    <w:rsid w:val="00BF01E5"/>
    <w:rsid w:val="00BF2D43"/>
    <w:rsid w:val="00BF50FC"/>
    <w:rsid w:val="00BF7415"/>
    <w:rsid w:val="00C01027"/>
    <w:rsid w:val="00C01EA6"/>
    <w:rsid w:val="00C0562E"/>
    <w:rsid w:val="00C07626"/>
    <w:rsid w:val="00C207DF"/>
    <w:rsid w:val="00C20E76"/>
    <w:rsid w:val="00C21A72"/>
    <w:rsid w:val="00C235A8"/>
    <w:rsid w:val="00C27BDC"/>
    <w:rsid w:val="00C35C4D"/>
    <w:rsid w:val="00C360CA"/>
    <w:rsid w:val="00C418C1"/>
    <w:rsid w:val="00C46B1D"/>
    <w:rsid w:val="00C4720C"/>
    <w:rsid w:val="00C5004A"/>
    <w:rsid w:val="00C5202B"/>
    <w:rsid w:val="00C53A83"/>
    <w:rsid w:val="00C55AE7"/>
    <w:rsid w:val="00C56683"/>
    <w:rsid w:val="00C5792A"/>
    <w:rsid w:val="00C61E98"/>
    <w:rsid w:val="00C628FB"/>
    <w:rsid w:val="00C7436F"/>
    <w:rsid w:val="00C7717A"/>
    <w:rsid w:val="00C81DBC"/>
    <w:rsid w:val="00C82DCD"/>
    <w:rsid w:val="00C91C1D"/>
    <w:rsid w:val="00C96BCA"/>
    <w:rsid w:val="00CA026D"/>
    <w:rsid w:val="00CA0461"/>
    <w:rsid w:val="00CA5795"/>
    <w:rsid w:val="00CA645E"/>
    <w:rsid w:val="00CA6A6B"/>
    <w:rsid w:val="00CB354F"/>
    <w:rsid w:val="00CB3F60"/>
    <w:rsid w:val="00CB511F"/>
    <w:rsid w:val="00CB584A"/>
    <w:rsid w:val="00CB7FBD"/>
    <w:rsid w:val="00CC1021"/>
    <w:rsid w:val="00CC2137"/>
    <w:rsid w:val="00CC3200"/>
    <w:rsid w:val="00CC53B3"/>
    <w:rsid w:val="00CC5714"/>
    <w:rsid w:val="00CC57D0"/>
    <w:rsid w:val="00CC690B"/>
    <w:rsid w:val="00CC70EA"/>
    <w:rsid w:val="00CD194A"/>
    <w:rsid w:val="00CD59B9"/>
    <w:rsid w:val="00CD6473"/>
    <w:rsid w:val="00CD6480"/>
    <w:rsid w:val="00CD6773"/>
    <w:rsid w:val="00CD696D"/>
    <w:rsid w:val="00CE422E"/>
    <w:rsid w:val="00CF0095"/>
    <w:rsid w:val="00CF030E"/>
    <w:rsid w:val="00CF1C41"/>
    <w:rsid w:val="00D003BF"/>
    <w:rsid w:val="00D04071"/>
    <w:rsid w:val="00D04ACA"/>
    <w:rsid w:val="00D06DCA"/>
    <w:rsid w:val="00D12F43"/>
    <w:rsid w:val="00D17AF1"/>
    <w:rsid w:val="00D240B3"/>
    <w:rsid w:val="00D24F4A"/>
    <w:rsid w:val="00D25DC0"/>
    <w:rsid w:val="00D26540"/>
    <w:rsid w:val="00D270DF"/>
    <w:rsid w:val="00D31F45"/>
    <w:rsid w:val="00D3524D"/>
    <w:rsid w:val="00D423C0"/>
    <w:rsid w:val="00D42EE2"/>
    <w:rsid w:val="00D44404"/>
    <w:rsid w:val="00D479ED"/>
    <w:rsid w:val="00D54AB3"/>
    <w:rsid w:val="00D558D4"/>
    <w:rsid w:val="00D5793D"/>
    <w:rsid w:val="00D61AAA"/>
    <w:rsid w:val="00D63E38"/>
    <w:rsid w:val="00D724CA"/>
    <w:rsid w:val="00D76661"/>
    <w:rsid w:val="00D76E78"/>
    <w:rsid w:val="00D83598"/>
    <w:rsid w:val="00D84AA1"/>
    <w:rsid w:val="00D9395A"/>
    <w:rsid w:val="00D93B3D"/>
    <w:rsid w:val="00D96CDA"/>
    <w:rsid w:val="00D96DA3"/>
    <w:rsid w:val="00DA1E26"/>
    <w:rsid w:val="00DA2EC4"/>
    <w:rsid w:val="00DA3E99"/>
    <w:rsid w:val="00DA6469"/>
    <w:rsid w:val="00DA77A2"/>
    <w:rsid w:val="00DA77CA"/>
    <w:rsid w:val="00DA7D81"/>
    <w:rsid w:val="00DB0B00"/>
    <w:rsid w:val="00DC0E60"/>
    <w:rsid w:val="00DC2F68"/>
    <w:rsid w:val="00DC5DDE"/>
    <w:rsid w:val="00DC7CA7"/>
    <w:rsid w:val="00DD53CD"/>
    <w:rsid w:val="00DE294A"/>
    <w:rsid w:val="00DE46FC"/>
    <w:rsid w:val="00DE4D91"/>
    <w:rsid w:val="00DE6245"/>
    <w:rsid w:val="00DF05B4"/>
    <w:rsid w:val="00DF0B2E"/>
    <w:rsid w:val="00DF20C3"/>
    <w:rsid w:val="00DF43F6"/>
    <w:rsid w:val="00DF4FCA"/>
    <w:rsid w:val="00E040BC"/>
    <w:rsid w:val="00E051A5"/>
    <w:rsid w:val="00E07C7B"/>
    <w:rsid w:val="00E07EF9"/>
    <w:rsid w:val="00E1107B"/>
    <w:rsid w:val="00E11252"/>
    <w:rsid w:val="00E11529"/>
    <w:rsid w:val="00E1543B"/>
    <w:rsid w:val="00E32C1C"/>
    <w:rsid w:val="00E3406E"/>
    <w:rsid w:val="00E349C0"/>
    <w:rsid w:val="00E36771"/>
    <w:rsid w:val="00E42051"/>
    <w:rsid w:val="00E50599"/>
    <w:rsid w:val="00E50EE8"/>
    <w:rsid w:val="00E5204D"/>
    <w:rsid w:val="00E5286E"/>
    <w:rsid w:val="00E554DC"/>
    <w:rsid w:val="00E56468"/>
    <w:rsid w:val="00E565CD"/>
    <w:rsid w:val="00E57E64"/>
    <w:rsid w:val="00E60040"/>
    <w:rsid w:val="00E665CF"/>
    <w:rsid w:val="00E66E8C"/>
    <w:rsid w:val="00E700F9"/>
    <w:rsid w:val="00E7233A"/>
    <w:rsid w:val="00E7454C"/>
    <w:rsid w:val="00E74CD4"/>
    <w:rsid w:val="00E74DF1"/>
    <w:rsid w:val="00E75950"/>
    <w:rsid w:val="00E80BAE"/>
    <w:rsid w:val="00E84557"/>
    <w:rsid w:val="00E86F13"/>
    <w:rsid w:val="00E87367"/>
    <w:rsid w:val="00E91857"/>
    <w:rsid w:val="00E92371"/>
    <w:rsid w:val="00E95C45"/>
    <w:rsid w:val="00E97CC0"/>
    <w:rsid w:val="00EA06B4"/>
    <w:rsid w:val="00EA0CDA"/>
    <w:rsid w:val="00EA10FB"/>
    <w:rsid w:val="00EA1348"/>
    <w:rsid w:val="00EA1CA3"/>
    <w:rsid w:val="00EA65C8"/>
    <w:rsid w:val="00EB005B"/>
    <w:rsid w:val="00EB018A"/>
    <w:rsid w:val="00EB19D4"/>
    <w:rsid w:val="00EB4960"/>
    <w:rsid w:val="00EB61A3"/>
    <w:rsid w:val="00EB722A"/>
    <w:rsid w:val="00EC0DB2"/>
    <w:rsid w:val="00EC2979"/>
    <w:rsid w:val="00ED1739"/>
    <w:rsid w:val="00ED3C08"/>
    <w:rsid w:val="00ED5923"/>
    <w:rsid w:val="00EE0D50"/>
    <w:rsid w:val="00EE1ADE"/>
    <w:rsid w:val="00EE539E"/>
    <w:rsid w:val="00EF4006"/>
    <w:rsid w:val="00EF5A84"/>
    <w:rsid w:val="00F01C51"/>
    <w:rsid w:val="00F056CA"/>
    <w:rsid w:val="00F1641E"/>
    <w:rsid w:val="00F16913"/>
    <w:rsid w:val="00F21D85"/>
    <w:rsid w:val="00F25ACB"/>
    <w:rsid w:val="00F30CC5"/>
    <w:rsid w:val="00F30EE7"/>
    <w:rsid w:val="00F36596"/>
    <w:rsid w:val="00F36F6E"/>
    <w:rsid w:val="00F409A2"/>
    <w:rsid w:val="00F40D58"/>
    <w:rsid w:val="00F4198D"/>
    <w:rsid w:val="00F50E93"/>
    <w:rsid w:val="00F54BF4"/>
    <w:rsid w:val="00F5559B"/>
    <w:rsid w:val="00F56B51"/>
    <w:rsid w:val="00F609A0"/>
    <w:rsid w:val="00F61D88"/>
    <w:rsid w:val="00F66AD3"/>
    <w:rsid w:val="00F7065E"/>
    <w:rsid w:val="00F709DC"/>
    <w:rsid w:val="00F72783"/>
    <w:rsid w:val="00F76889"/>
    <w:rsid w:val="00F77905"/>
    <w:rsid w:val="00F81EFD"/>
    <w:rsid w:val="00F92211"/>
    <w:rsid w:val="00F93380"/>
    <w:rsid w:val="00F93ADA"/>
    <w:rsid w:val="00FA2D06"/>
    <w:rsid w:val="00FA71FE"/>
    <w:rsid w:val="00FB07CA"/>
    <w:rsid w:val="00FB1993"/>
    <w:rsid w:val="00FB2B93"/>
    <w:rsid w:val="00FB4381"/>
    <w:rsid w:val="00FB4D55"/>
    <w:rsid w:val="00FB5C54"/>
    <w:rsid w:val="00FB741B"/>
    <w:rsid w:val="00FC77A0"/>
    <w:rsid w:val="00FD3478"/>
    <w:rsid w:val="00FD4747"/>
    <w:rsid w:val="00FD4F04"/>
    <w:rsid w:val="00FD6A4E"/>
    <w:rsid w:val="00FD705C"/>
    <w:rsid w:val="00FD7B94"/>
    <w:rsid w:val="00FE0804"/>
    <w:rsid w:val="00FE1988"/>
    <w:rsid w:val="00FE3EF9"/>
    <w:rsid w:val="00FE5ACE"/>
    <w:rsid w:val="00FE5B5B"/>
    <w:rsid w:val="00FE5D69"/>
    <w:rsid w:val="00FF017B"/>
    <w:rsid w:val="00FF118D"/>
    <w:rsid w:val="00FF2D2A"/>
    <w:rsid w:val="00FF7DE3"/>
    <w:rsid w:val="00FF7E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027"/>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paragraf">
    <w:name w:val="stilparagraf"/>
    <w:basedOn w:val="Normal"/>
    <w:rsid w:val="00982DF5"/>
    <w:pPr>
      <w:spacing w:before="100" w:beforeAutospacing="1" w:after="100" w:afterAutospacing="1"/>
    </w:pPr>
    <w:rPr>
      <w:rFonts w:ascii="Times New Roman" w:eastAsia="Times New Roman" w:hAnsi="Times New Roman" w:cs="Times New Roman"/>
      <w:noProof w:val="0"/>
      <w:sz w:val="24"/>
      <w:szCs w:val="24"/>
      <w:lang w:val="en-US"/>
    </w:rPr>
  </w:style>
  <w:style w:type="character" w:styleId="Hyperlink">
    <w:name w:val="Hyperlink"/>
    <w:basedOn w:val="DefaultParagraphFont"/>
    <w:uiPriority w:val="99"/>
    <w:unhideWhenUsed/>
    <w:rsid w:val="00982DF5"/>
    <w:rPr>
      <w:color w:val="0000FF"/>
      <w:u w:val="single"/>
    </w:rPr>
  </w:style>
  <w:style w:type="paragraph" w:styleId="Header">
    <w:name w:val="header"/>
    <w:basedOn w:val="Normal"/>
    <w:link w:val="HeaderChar"/>
    <w:uiPriority w:val="99"/>
    <w:semiHidden/>
    <w:unhideWhenUsed/>
    <w:rsid w:val="00982DF5"/>
    <w:pPr>
      <w:tabs>
        <w:tab w:val="center" w:pos="4680"/>
        <w:tab w:val="right" w:pos="9360"/>
      </w:tabs>
    </w:pPr>
  </w:style>
  <w:style w:type="character" w:customStyle="1" w:styleId="HeaderChar">
    <w:name w:val="Header Char"/>
    <w:basedOn w:val="DefaultParagraphFont"/>
    <w:link w:val="Header"/>
    <w:uiPriority w:val="99"/>
    <w:semiHidden/>
    <w:rsid w:val="00982DF5"/>
    <w:rPr>
      <w:noProof/>
      <w:lang w:val="ro-RO"/>
    </w:rPr>
  </w:style>
  <w:style w:type="paragraph" w:styleId="Footer">
    <w:name w:val="footer"/>
    <w:basedOn w:val="Normal"/>
    <w:link w:val="FooterChar"/>
    <w:uiPriority w:val="99"/>
    <w:semiHidden/>
    <w:unhideWhenUsed/>
    <w:rsid w:val="00982DF5"/>
    <w:pPr>
      <w:tabs>
        <w:tab w:val="center" w:pos="4680"/>
        <w:tab w:val="right" w:pos="9360"/>
      </w:tabs>
    </w:pPr>
  </w:style>
  <w:style w:type="character" w:customStyle="1" w:styleId="FooterChar">
    <w:name w:val="Footer Char"/>
    <w:basedOn w:val="DefaultParagraphFont"/>
    <w:link w:val="Footer"/>
    <w:uiPriority w:val="99"/>
    <w:semiHidden/>
    <w:rsid w:val="00982DF5"/>
    <w:rPr>
      <w:noProof/>
      <w:lang w:val="ro-RO"/>
    </w:rPr>
  </w:style>
  <w:style w:type="paragraph" w:customStyle="1" w:styleId="stilcapitol">
    <w:name w:val="stilcapitol"/>
    <w:basedOn w:val="Normal"/>
    <w:rsid w:val="00982DF5"/>
    <w:pPr>
      <w:spacing w:before="100" w:beforeAutospacing="1" w:after="100" w:afterAutospacing="1"/>
    </w:pPr>
    <w:rPr>
      <w:rFonts w:ascii="Times New Roman" w:eastAsia="Times New Roman" w:hAnsi="Times New Roman" w:cs="Times New Roman"/>
      <w:noProof w:val="0"/>
      <w:sz w:val="24"/>
      <w:szCs w:val="24"/>
      <w:lang w:val="en-US"/>
    </w:rPr>
  </w:style>
  <w:style w:type="paragraph" w:customStyle="1" w:styleId="stilarticol">
    <w:name w:val="stilarticol"/>
    <w:basedOn w:val="Normal"/>
    <w:rsid w:val="00982DF5"/>
    <w:pPr>
      <w:spacing w:before="100" w:beforeAutospacing="1" w:after="100" w:afterAutospacing="1"/>
    </w:pPr>
    <w:rPr>
      <w:rFonts w:ascii="Times New Roman" w:eastAsia="Times New Roman" w:hAnsi="Times New Roman" w:cs="Times New Roman"/>
      <w:noProof w:val="0"/>
      <w:sz w:val="24"/>
      <w:szCs w:val="24"/>
      <w:lang w:val="en-US"/>
    </w:rPr>
  </w:style>
  <w:style w:type="paragraph" w:styleId="BalloonText">
    <w:name w:val="Balloon Text"/>
    <w:basedOn w:val="Normal"/>
    <w:link w:val="BalloonTextChar"/>
    <w:uiPriority w:val="99"/>
    <w:semiHidden/>
    <w:unhideWhenUsed/>
    <w:rsid w:val="00681AB7"/>
    <w:rPr>
      <w:rFonts w:ascii="Tahoma" w:hAnsi="Tahoma" w:cs="Tahoma"/>
      <w:sz w:val="16"/>
      <w:szCs w:val="16"/>
    </w:rPr>
  </w:style>
  <w:style w:type="character" w:customStyle="1" w:styleId="BalloonTextChar">
    <w:name w:val="Balloon Text Char"/>
    <w:basedOn w:val="DefaultParagraphFont"/>
    <w:link w:val="BalloonText"/>
    <w:uiPriority w:val="99"/>
    <w:semiHidden/>
    <w:rsid w:val="00681AB7"/>
    <w:rPr>
      <w:rFonts w:ascii="Tahoma" w:hAnsi="Tahoma" w:cs="Tahoma"/>
      <w:noProof/>
      <w:sz w:val="16"/>
      <w:szCs w:val="16"/>
      <w:lang w:val="ro-RO"/>
    </w:rPr>
  </w:style>
</w:styles>
</file>

<file path=word/webSettings.xml><?xml version="1.0" encoding="utf-8"?>
<w:webSettings xmlns:r="http://schemas.openxmlformats.org/officeDocument/2006/relationships" xmlns:w="http://schemas.openxmlformats.org/wordprocessingml/2006/main">
  <w:divs>
    <w:div w:id="711807702">
      <w:bodyDiv w:val="1"/>
      <w:marLeft w:val="0"/>
      <w:marRight w:val="0"/>
      <w:marTop w:val="0"/>
      <w:marBottom w:val="0"/>
      <w:divBdr>
        <w:top w:val="none" w:sz="0" w:space="0" w:color="auto"/>
        <w:left w:val="none" w:sz="0" w:space="0" w:color="auto"/>
        <w:bottom w:val="none" w:sz="0" w:space="0" w:color="auto"/>
        <w:right w:val="none" w:sz="0" w:space="0" w:color="auto"/>
      </w:divBdr>
    </w:div>
    <w:div w:id="16773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tic.anaf.ro/static/10/Anaf/legislatie/Cod_fiscal_norme_31072017.htm" TargetMode="External"/><Relationship Id="rId13" Type="http://schemas.openxmlformats.org/officeDocument/2006/relationships/hyperlink" Target="https://static.anaf.ro/static/10/Anaf/legislatie/Cod_fiscal_norme_31072017.htm" TargetMode="External"/><Relationship Id="rId18" Type="http://schemas.openxmlformats.org/officeDocument/2006/relationships/hyperlink" Target="https://static.anaf.ro/static/10/Anaf/legislatie/Cod_fiscal_norme_31072017.htm" TargetMode="External"/><Relationship Id="rId26" Type="http://schemas.openxmlformats.org/officeDocument/2006/relationships/hyperlink" Target="https://static.anaf.ro/static/10/Anaf/legislatie/Cod_fiscal_norme_31072017.htm" TargetMode="External"/><Relationship Id="rId3" Type="http://schemas.openxmlformats.org/officeDocument/2006/relationships/settings" Target="settings.xml"/><Relationship Id="rId21" Type="http://schemas.openxmlformats.org/officeDocument/2006/relationships/hyperlink" Target="https://static.anaf.ro/static/10/Anaf/legislatie/Cod_fiscal_norme_31072017.htm" TargetMode="External"/><Relationship Id="rId7" Type="http://schemas.openxmlformats.org/officeDocument/2006/relationships/hyperlink" Target="https://static.anaf.ro/static/10/Anaf/legislatie/Cod_fiscal_norme_31072017.htm" TargetMode="External"/><Relationship Id="rId12" Type="http://schemas.openxmlformats.org/officeDocument/2006/relationships/hyperlink" Target="https://static.anaf.ro/static/10/Anaf/legislatie/Cod_fiscal_norme_31072017.htm" TargetMode="External"/><Relationship Id="rId17" Type="http://schemas.openxmlformats.org/officeDocument/2006/relationships/hyperlink" Target="https://static.anaf.ro/static/10/Anaf/legislatie/Cod_fiscal_norme_31072017.htm" TargetMode="External"/><Relationship Id="rId25" Type="http://schemas.openxmlformats.org/officeDocument/2006/relationships/hyperlink" Target="https://static.anaf.ro/static/10/Anaf/legislatie/Cod_fiscal_norme_31072017.htm" TargetMode="External"/><Relationship Id="rId2" Type="http://schemas.openxmlformats.org/officeDocument/2006/relationships/styles" Target="styles.xml"/><Relationship Id="rId16" Type="http://schemas.openxmlformats.org/officeDocument/2006/relationships/hyperlink" Target="https://static.anaf.ro/static/10/Anaf/legislatie/Cod_fiscal_norme_31072017.htm" TargetMode="External"/><Relationship Id="rId20" Type="http://schemas.openxmlformats.org/officeDocument/2006/relationships/hyperlink" Target="https://static.anaf.ro/static/10/Anaf/legislatie/Cod_fiscal_norme_31072017.ht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tic.anaf.ro/static/10/Anaf/legislatie/Cod_fiscal_norme_31072017.htm" TargetMode="External"/><Relationship Id="rId24" Type="http://schemas.openxmlformats.org/officeDocument/2006/relationships/hyperlink" Target="https://static.anaf.ro/static/10/Anaf/legislatie/Cod_fiscal_norme_31072017.htm" TargetMode="External"/><Relationship Id="rId5" Type="http://schemas.openxmlformats.org/officeDocument/2006/relationships/footnotes" Target="footnotes.xml"/><Relationship Id="rId15" Type="http://schemas.openxmlformats.org/officeDocument/2006/relationships/hyperlink" Target="https://static.anaf.ro/static/10/Anaf/legislatie/Cod_fiscal_norme_31072017.htm" TargetMode="External"/><Relationship Id="rId23" Type="http://schemas.openxmlformats.org/officeDocument/2006/relationships/hyperlink" Target="https://static.anaf.ro/static/10/Anaf/legislatie/Cod_fiscal_norme_31072017.htm" TargetMode="External"/><Relationship Id="rId28" Type="http://schemas.openxmlformats.org/officeDocument/2006/relationships/hyperlink" Target="https://static.anaf.ro/static/10/Anaf/legislatie/Cod_fiscal_norme_31072017.htm" TargetMode="External"/><Relationship Id="rId10" Type="http://schemas.openxmlformats.org/officeDocument/2006/relationships/hyperlink" Target="https://static.anaf.ro/static/10/Anaf/legislatie/Cod_fiscal_norme_31072017.htm" TargetMode="External"/><Relationship Id="rId19" Type="http://schemas.openxmlformats.org/officeDocument/2006/relationships/hyperlink" Target="https://static.anaf.ro/static/10/Anaf/legislatie/Cod_fiscal_norme_31072017.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tatic.anaf.ro/static/10/Anaf/legislatie/Cod_fiscal_norme_31072017.htm" TargetMode="External"/><Relationship Id="rId14" Type="http://schemas.openxmlformats.org/officeDocument/2006/relationships/hyperlink" Target="https://static.anaf.ro/static/10/Anaf/legislatie/Cod_fiscal_norme_31072017.htm" TargetMode="External"/><Relationship Id="rId22" Type="http://schemas.openxmlformats.org/officeDocument/2006/relationships/hyperlink" Target="https://static.anaf.ro/static/10/Anaf/legislatie/Cod_fiscal_norme_31072017.htm" TargetMode="External"/><Relationship Id="rId27" Type="http://schemas.openxmlformats.org/officeDocument/2006/relationships/hyperlink" Target="https://static.anaf.ro/static/10/Anaf/legislatie/Cod_fiscal_norme_31072017.ht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avocatnet.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1758</Words>
  <Characters>10021</Characters>
  <Application>Microsoft Office Word</Application>
  <DocSecurity>0</DocSecurity>
  <Lines>83</Lines>
  <Paragraphs>23</Paragraphs>
  <ScaleCrop>false</ScaleCrop>
  <Company/>
  <LinksUpToDate>false</LinksUpToDate>
  <CharactersWithSpaces>11756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dc:creator>
  <cp:keywords/>
  <dc:description/>
  <cp:lastModifiedBy>catalin</cp:lastModifiedBy>
  <cp:revision>3</cp:revision>
  <dcterms:created xsi:type="dcterms:W3CDTF">2017-09-15T13:14:00Z</dcterms:created>
  <dcterms:modified xsi:type="dcterms:W3CDTF">2017-09-15T13:21:00Z</dcterms:modified>
</cp:coreProperties>
</file>