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E9" w:rsidRDefault="00E96FE9" w:rsidP="00E96FE9"/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t xml:space="preserve">    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PROCEDURA</w:t>
      </w:r>
    </w:p>
    <w:p w:rsidR="00E96FE9" w:rsidRPr="00E96FE9" w:rsidRDefault="00E96FE9" w:rsidP="00E9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E9" w:rsidRPr="00E96FE9" w:rsidRDefault="00E96FE9" w:rsidP="00E96FE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de</w:t>
      </w:r>
      <w:proofErr w:type="gramEnd"/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 implementare a Programului rom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no-elve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ian pentru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ntreprinderi mici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i mijlocii (PREIMM),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n cadrul Ariei de concentrare 5: 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„</w:t>
      </w:r>
      <w:r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I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mbun</w:t>
      </w:r>
      <w:r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a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t</w:t>
      </w:r>
      <w:r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at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 xml:space="preserve">irea mediului de afaceri </w:t>
      </w:r>
      <w:r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s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i a accesului la finan</w:t>
      </w:r>
      <w:r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i/>
          <w:iCs/>
          <w:color w:val="707070"/>
          <w:sz w:val="21"/>
        </w:rPr>
        <w:t>are a IMM-urilor”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Dispozi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ii generale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Prezenta procedur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descrie modul de implementare a Programului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no-elve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ian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mijlocii (PREIMM sau Programul), conceput pentru abordarea sec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iunii 3 -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„Sectorul privat”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/Aria de concentrare (AC) 5: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mbun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t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at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irea mediului de afaceri 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s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i a accesului la finan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t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are a IMM”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din anexa nr. 1 la Acordul-cadru dintre Guvernul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niei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Consiliul Federal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 privind implementarea Programului de cooperare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iano-rom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pentru reducerea disparit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ilor economice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sociale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Uniunii Europene extinse (PCER).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PREIMM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un program de sprijinire a dezvolt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cre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terii competitivit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IMM-urilor din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nia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patru sectoare prioritare,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reducerii decalajului de competitivitate fa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media Uniunii Europene.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Programul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implementat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Departamentul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Mijlocii, Mediul de Afaceri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Turism (DIMMMAT), av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responsabilit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36"/>
        </w:rPr>
        <w:t>-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Organism Intermediar (OI) - prin Direc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implementare programe pentru IMM (DIPIMM);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36"/>
        </w:rPr>
        <w:t>-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Agen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Executiv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(AE) - prin Direc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politici pentru IMM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coopera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(DPIMMC).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4.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Programul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implementat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prevederile Acordului-cadru dintre Guvernul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niei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Consiliul Federal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 privind implementarea Programului de cooperare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iano-rom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pentru reducerea disparit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ilor economice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sociale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Uniunii Europene extinse, aprobat prin Hot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rea Guvernului nr. 1.065/2010;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b)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Acordul de proiect dintre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ia, reprezentat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Secretariatul de Stat pentru Afaceri Economice (SECO),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Guvernul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niei, reprezentat de Ministerul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elor Publice,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calitate de Unitate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Coordonare (UNC),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DIMMMAT,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calitate de OI, privind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 proiectului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„Programul rom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no-elve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t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ian pentru 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ntreprinderi mici 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s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i mijlocii”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ce va fi implementat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perioada 2014-2019 (APF);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c)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Acordul de implementare a Programului dintre UNC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AE;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d)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prevederile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Legii nr. 346/2004 privind stimularea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nfiin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dezvolt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ntreprinderilor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mijlocii,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rile ulterioare;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e)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„Propunerea Final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 de Proiect”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(PFP) aprobat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SECO prin scrisoarea adresat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Ministerului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elor Publice/UNC la data de 30 septembrie 2013 (documentul de referin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2013-08-23/18);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f)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prevederile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Hot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Guvernului nr.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430/2013 privind organizarea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func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ionarea Departamentului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Mijlocii, Mediul de Afaceri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Turism,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rile ulterioare.</w:t>
      </w:r>
      <w:proofErr w:type="gramEnd"/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Art. 5.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Prezenta procedur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reglementeaz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conform PFP, modul de acordare a creditelor garantate la solicitarea Beneficiarului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destinate realiz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dezvolt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afacerilor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ntreprinderilor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mijlocii, denumite mai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jos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Beneficiari.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6.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Programul se deruleaz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perioada 2014-2019.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7.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DIMMMAT, prin DPIMMC,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calitate de AE a Programului,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credit, desemnat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 partener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acest program, CEC Bank - S.A. (Banca), vor respecta prevederile prezentei proceduri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ale Conven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iei de Colaborare (CC)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ncheiate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derul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rii/implement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Programului.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Obiectivul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8.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Obiectivul Programului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l constituie facilitarea accesului IMM-urilor din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nia la credite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ii, cu posibilitatea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Fondul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ional de Garantare a Creditelor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Mijlocii - S.A. - IFN (FNGCIMM) a unei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propor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de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80% din valoarea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mprumutului, restul de cel pu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 20% din partea 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mas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fiind suportat integral de Beneficiar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de alt/al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garant/garan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al/ai acestuia agreat/agrea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Prezenta procedur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instituie o schem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transparent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ajutor de minimis. Acordarea ajutoarelor de minimis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Programului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face numai cu respectarea criteriilor privind ajutorul de minimis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de Regulamentul (UE) nr. 1.407/2013 al Comisiei din 18 decembrie 2013 privind aplicarea articolelor 107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108 din Tratatul privind func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ionarea Uniunii Europene ajutoarelor de minimis, publicat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Jurnalul Oficial al Uniunii Europene, seria L, nr. 352 din 24 decembrie 2013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Prezenta schem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nu intr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sub inciden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de notificare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Comisia European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Regulamentului (UE) nr. 1.407/2013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Schema se aplic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ntreg teritoriul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niei,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toate cele 8 regiuni de dezvoltare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Schema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 amendat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30 iunie 2014, cu prevederile noului regulament privind ajutorul de minimis,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caz contrar pierz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ndu-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valabilitatea.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III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Bugetul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9.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conformitate cu prevederile aprobate prin PFP, bugetul Programului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28.524.286 milioane CHF, din care: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iene este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sum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20.000.000 CHF (inclusiv 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suri de publicitate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campanii de promovare, audituri ale Programului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Fondul Programului);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b)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total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ncii este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sum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maxim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8.524.286 CHF, echivalentul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la cursul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ionale a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niei valabil la data ini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ierii Acordului de implementare.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10.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ceea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prive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 creditelor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prin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aceasta se realizeaz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printr-un proces de prefinan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 de la bugetul de stat alocat DIMMMAT conform fi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de proiect aprobate de UNC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Prin bugetul DIMMMAT, AE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a unei cote-p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70% din creditele acordate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limita sumei maxime de 19.890.000 CHF, echivalent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la cursul BNR valabil la data ini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ierii Acordului de implementare.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11.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Prin implementarea Programului,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ncep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cu anul 2014, se estimeaz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acordarea de credite unui num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 de cel pu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 284 de beneficiari.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IV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Beneficiarii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12.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Poate beneficia de prevederile Programului orice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ntreprindere mic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mijlocie, definit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 atare de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specific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vigoare, care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ndepline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 cumulativ urm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toarele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de eligibilitate: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este autorizat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desf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>oare cel pu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 una dintre urm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toarele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eligibile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Programului: (i) produc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- conform CAEN (Rev. 2) Categoria C, cu excep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codurilor 11, 12, 19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24; (ii) servicii medicale - conform CAEN (Rev. 2) Categoria Q; (iii) turism - conform CAEN (Rev. 2) Categoria 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categoria N, codul 79; (iv) comercializarea sistemelor/echipamentelor specifice economisirii de energie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 celor care utilizeaz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resurse de energie regenerabile pentru eficientizarea propriei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- conform CAEN (Rev. 2) Categoria G, codul 4669;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b)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are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experien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minimum un an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cel pu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 una dintre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ile eligibile enumerate la lit.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>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c)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nu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are datorii la bugetul de stat, bugetele locale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bugetul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 sociale; solicitan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care au datorii 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alonate, conform certificatelor de atestare fiscal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nu sunt eligibili pentru a accesa Programul;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d)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prezint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un plan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pentru realizarea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rora se vor utiliza fondurile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ti ob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inute din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mprumut;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e)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prezint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o declara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privind totalul sumei primite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ultimii 3 ani ca ajutor de stat, conform modelului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anexa care face parte integrant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din prezenta procedur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f)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nu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se afl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stare de dizolvare, reorganizare judiciar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lichidare, executare silit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nchidere opera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insolven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faliment, suspendare temporar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sau administrare special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g)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nu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se afl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dificultate,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„Liniilor directoare privind ajutorul de stat pentru salvarea 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s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 xml:space="preserve">i restructurarea firmelor </w:t>
      </w:r>
      <w:r>
        <w:rPr>
          <w:rFonts w:ascii="Helvetica" w:eastAsia="Times New Roman" w:hAnsi="Helvetica" w:cs="Times New Roman"/>
          <w:i/>
          <w:iCs/>
          <w:color w:val="707070"/>
          <w:sz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n dificultate”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publicate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Jurnalul Oficial al Uniunii Europene, seria C, nr. 244/2004;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h)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nu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fost subiectul unei decizii a Comisiei Europene de recuperare a unui ajutor de stat sau,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cazul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care au f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cut obiectul unei astfel de decizii, aceasta a fost deja executat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crean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integral recuperat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nu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beneficiat de ajutoare ilegale</w:t>
      </w:r>
      <w:r w:rsidRPr="00E96FE9">
        <w:rPr>
          <w:rFonts w:ascii="Helvetica" w:eastAsia="Times New Roman" w:hAnsi="Helvetica" w:cs="Times New Roman"/>
          <w:color w:val="333333"/>
          <w:sz w:val="17"/>
          <w:vertAlign w:val="superscript"/>
        </w:rPr>
        <w:t>1</w:t>
      </w:r>
      <w:r w:rsidRPr="00E96FE9">
        <w:rPr>
          <w:rFonts w:ascii="Helvetica" w:eastAsia="Times New Roman" w:hAnsi="Helvetica" w:cs="Times New Roman"/>
          <w:color w:val="333333"/>
          <w:sz w:val="21"/>
        </w:rPr>
        <w:t>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j) </w:t>
      </w:r>
      <w:proofErr w:type="gramStart"/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ndepline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criteriile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normele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procedurile interne de creditare ale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13.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Nu sunt eligibile pentru a beneficia de prevederile programului IMM-urile care au desf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urat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vor desf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>ura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din sectorul/domeniul/domeniile: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intermedieri financiare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ri: 641 - Intermediere monetar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 642 -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ale holdingurilor; 643 - Fonduri mutuale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alte entit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financiare similare; 649 - Alte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intermedieri financiare, exclusiv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fonduri de pensii; 651 -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ri; 652 - </w:t>
      </w:r>
      <w:r w:rsidRPr="00E96FE9">
        <w:rPr>
          <w:rFonts w:ascii="Helvetica" w:eastAsia="Times New Roman" w:hAnsi="Helvetica" w:cs="Times New Roman"/>
          <w:color w:val="333333"/>
          <w:sz w:val="21"/>
        </w:rPr>
        <w:lastRenderedPageBreak/>
        <w:t>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reasigurare; 653 -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ale fondurilor de pensii (cu excep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celor din sistemul public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 sociale); 661 -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auxiliare intermedierilor financiare, cu excep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ilor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fonduri de pensii; 662 -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auxiliare de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fonduri de pensii; 663 -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administrare a fondurilor;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b)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tranzac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imobiliare: 681 - Cump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nzarea de bunuri imobiliare proprii; 682 -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sub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nchirierea bunurilor imobiliare proprii sau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nchiriate; 683 -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imobiliare pe baz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comision sau contract;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c)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920 -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jocuri de noroc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pariuri;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d)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produc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sau comercializare de armament, muni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ii, explozibili, tutun, alcool, substan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 aflate sub control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ional, plante, substan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preparate stupefiante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psihotrope, produse energetice definite potrivit Legii nr. 571/2003 privind Codul fiscal,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ulterioare: 1200 - Fabricarea produselor din tutun; 2540 - Fabricarea armamentului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muni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iei; 2051 - Fabricarea explozivilor; 4635 - Comer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ridicata al produselor din tutun; 4639 - Comer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ridicata nespecializat de produse alimentare,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uturi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tutun; 4725 - Comer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am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nuntul al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uturilor,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magazine specializate; 4726 - Comer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am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nuntul al produselor din tutun,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magazine specializate; 191 - Fabricarea produselor de cocserie; 192 - Fabricarea produselor ob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inute din prelucrarea 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eiului; 351 - Produc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ia, transportul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distribu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energiei electrice; 352 - Produc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gazelor; distribu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combustibililor gazo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prin conducte;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e)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leasing: 771 -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leasing cu autovehicule; 772 -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leasing cu bunuri personale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gospod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ti; 773 -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nchiriere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leasing cu alte ma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ini, echipamente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bunuri tangibile; 774 - Leasing cu bunuri intangibile (exclusiv financiare);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f)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investigare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protec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ie: 801 -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protec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gard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 802 -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servicii privind sistemele de securizare; 803 -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investiga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g)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excluse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normele europene, pentru care nu se poate acorda ajutor de minimis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Regulamentului (UE) nr. 1.407/2013, respectiv: (i)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pescuit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acvacultur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zute de Regulamentul (CE) nr. 104/2000 al Consiliului din 17 decembrie 1999 privind organizarea comun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elor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sectorul produselor pesc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acvacultur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 (ii)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legate de produc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primar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produselor agricole, 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 cum sunt enumerate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anexa I la Tratatul privind func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Uniunii Europene; (iii)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 procesare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marketing al produselor agricole, 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 cum sunt enumerate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anexa I la Tratatul privind func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ionarea Uniunii Europene,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urm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toarele cazuri: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1. 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cuantumul ajutorului este stabilit pe baza pre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ului sau a cantit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produselor de acest tip cump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rate de la produc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torii primari sau puse pe pia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operatorii economici respectivi;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2. 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ajutorul este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ionat de a fi par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ial sau integral cedat produc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torilor primari (fermieri); (iv)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legate de export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state ter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 sau state membre,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anume ajutoarele legate direct de cantit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ile exportate, de crearea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func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unei re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ele de distribu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sau pentru alte cheltuieli curente legate de activitatea de export; (v) ajutoarele destinate utiliz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produselor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detrimentul celor importate; (vi) ajutoarele destinate operatorilor economici care activeaz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sectorul carbonifer, 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 cum sunt definite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Decizia Consiliului din 10 decembrie 2010 privind ajutorul de stat pentru facilitarea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nchiderii minelor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rbune necompetitive (2010/787/UE); (vii) ajutoarele pentru achizi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vehiculelor de transport rutier de marf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acordate operatorilor economici care au ca </w:t>
      </w:r>
      <w:r w:rsidRPr="00E96FE9">
        <w:rPr>
          <w:rFonts w:ascii="Helvetica" w:eastAsia="Times New Roman" w:hAnsi="Helvetica" w:cs="Times New Roman"/>
          <w:color w:val="333333"/>
          <w:sz w:val="21"/>
        </w:rPr>
        <w:lastRenderedPageBreak/>
        <w:t>obiect de activitate prestarea de servicii de transport rutier de marf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contra cost.” (2) Nu pot beneficia de prevederile Programului acele IMM-uri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care exist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leg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turi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 structurile ac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ionariatului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personalul implicat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implementarea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14.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Conflictul de interese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Programului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reglementat conform Legii nr.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78/2000 pentru prevenirea, descoperirea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sanc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faptelor de corup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ulterioare,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Codului penal.</w:t>
      </w:r>
      <w:proofErr w:type="gramEnd"/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V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Parteneriatul cu institu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ia de credit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15.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DIMMMAT gestioneaz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deruleaz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direct sau prin intermediul organiza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ori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iilor de drept privat programe de sprijin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nfiin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dezvoltarea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ntreprinderilor mici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mijlocii, prin asigurarea de resurse financiare, conform Legii nr. 346/2004,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rile ulterioare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 DIMMMAT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organiza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ori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de drept privat (institu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de credit) se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ncheie o CC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reia se deruleaz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programele de sprijin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Programul care face obiectul acestei proceduri,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 DIMMMAT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credit, desemnat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 partener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acest Program, se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ncheie o CC privind derularea financiar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credit partener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fost selectat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printr-o procedur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competitiv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transparent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nediscriminatorie.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VI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 Instrumente financiare principale utilizate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n Program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1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Creditul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16.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Creditul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valoare maxim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100.000 CHF/beneficiar, echivalent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la cursul de schimb de la data ini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ierii Acordului de implementare, incluz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36"/>
        </w:rPr>
        <w:t>- 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70% din fiecare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mprumut individual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pus la dispozi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AE/DIMMMAT prin Fondul Programului,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tit din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pentru Program.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36"/>
        </w:rPr>
        <w:t>- 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30% din fiecare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mprumut individual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proprie a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Valoarea efectiv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creditului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stabilit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normele interne de creditare, dar nu poate dep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valoarea maxim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precizat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alin. (1)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Creditul se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o perioad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maxim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5 (cinci) ani</w:t>
      </w:r>
      <w:proofErr w:type="gramEnd"/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Creditul se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beneficiarilor Programului care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ndeplinesc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de eligibilitate din cap. IV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Beneficiarii pot folosi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mprumutul numai pentru efectuarea cheltuielilor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planul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ii, cu normele de creditare ale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iei de credit partenere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cu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de utilizare 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 cum sunt prezentate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PFP aprobat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Perioada de gra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a creditului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maximum 12 luni, fiind acordat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cererea Beneficiarului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(7)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Banca are dreptul de a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stra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utiliza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aferent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iene, respectiv pentru 70% din fiecare credit acordat pentru acoperirea cheltuielilor cu serviciile prestate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implementarea Programului, respectiv analiza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selec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dosarelor de credit, monitorizarea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raportarea creditelor etc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(8)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Beneficiarul se oblig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men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ia, obiect al finan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prin creditul acordat, pe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ntreaga perioad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implement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(9)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Creditul nu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putea fi utilizat pentru rambursarea altor credite existente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(10)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Un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solicitant de credit nu poate beneficia de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 prin creditare dec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 o singur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acestui Program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Oricare poten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ial Beneficiar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putea solicita un credit doar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bugetului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 perioadei de implementare 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Banca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responsabil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recuperarea creditului acordat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Programului.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a 2-a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Garan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ia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17.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Creditul poate fi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nso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it, la solicitarea Beneficiarului, de o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emis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FNGCIMM -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numele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contul acestuia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Dac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Beneficiarul nu solicit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de la FNGCIMM, atunci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obligat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acopere integral, din resurse proprii, toate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cerute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pentru acordarea creditului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Creditele sunt garantate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FNGCIMM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propor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de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80% din valoarea creditului acordat, iar procentul de credit 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mas negarantat, de cel pu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 20%, pentru care poate fi solicitat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ie, conform normelor interne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mprumut ale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ncii, se va garanta integral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Beneficiarul eligibil sau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alte entit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garantare acceptate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Toate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vor respecta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iile stipulate conform acordului/protocolului de colaborare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ncheiat de FNGCIMM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celelalte entit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garantare cu Banca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sec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iunii 3 a Comunicatului Comisiei Europene referitoare la aplicarea art.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87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art.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88 din Tratatul de instituire a Comunit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Europene, aceste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nu sunt ajutoare de stat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Sistemul de garantare utilizat de FNGCIMM se bazeaz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evaluarea realist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riscului, astfel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 primele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tite de beneficiari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asigure autofinan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consecin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primele de garantare sunt conforme cu pre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urile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ei.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a 3-</w:t>
      </w:r>
      <w:proofErr w:type="gramStart"/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a</w:t>
      </w:r>
      <w:proofErr w:type="gramEnd"/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Ajutorul de stat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18.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Creditul se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sub nivelul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Ajutorul de minimis acordat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acestei scheme de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sub form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subven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de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reprezint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diferen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dintre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la care se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creditele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19.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Formula de calcul al valorii ajutorului de stat este: , 1 1 ¦ n r i r Ds Dp ESB unde ESB = echivalentul subven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brut; n = maturitatea creditului acordat IMM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prezentei scheme, </w:t>
      </w:r>
      <w:r w:rsidRPr="00E96FE9">
        <w:rPr>
          <w:rFonts w:ascii="Helvetica" w:eastAsia="Times New Roman" w:hAnsi="Helvetica" w:cs="Times New Roman"/>
          <w:color w:val="333333"/>
          <w:sz w:val="21"/>
        </w:rPr>
        <w:lastRenderedPageBreak/>
        <w:t>exprimat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luni calendaristice Dp =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lunar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care ar fi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tit-o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ntreprinderea beneficiar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ei; Ds =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lunar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efectiv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care o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ntreprinderea beneficiar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schemei; r = rata de scont, conform Comunic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Comisiei de pe site-ul www.ajutordestat.ro privind revizuirea metodei de stabilire a ratelor de referin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scont (2008/C 14/02), calculat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 suma dintre rata de referin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valabil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data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creditului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o marj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100 de puncte de baz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; de exemplu, de la 1 ianuarie 2014, rata de referin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este egal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3,72% ceea ce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nseamn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s-ar utiliza ca 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scont cifra de 3,72% + 1% = 4,72%.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nda lunar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care ar fi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tit-o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ntreprinderea beneficiar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pie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(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Dp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>) este egal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ROBOR 6M + 5%. Banca va calcula ajutorul de minimis aferent fiec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rui credit acordat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Programului, la data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creditului,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iilor de aprobare a creditului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 graficului de rambursare estimativ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 transmite aceste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DIMMMAT.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20.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DIMMMAT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transmite o notificare Beneficiarului privind valoarea ajutorului de minimis de care beneficiaz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VII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area Programului</w:t>
      </w:r>
    </w:p>
    <w:p w:rsidR="00E96FE9" w:rsidRPr="00E96FE9" w:rsidRDefault="00E96FE9" w:rsidP="00E96FE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1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area creditelor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21.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area, din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iene, a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color w:val="333333"/>
          <w:sz w:val="21"/>
        </w:rPr>
        <w:t>70% din creditele acordate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se realizeaz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prin pre-finan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 de la bugetul DIMMMAT,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limita sumei maxime de 19.890.000 CHF, echivalent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la cursul convenit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Suma prefinan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se ramburseaz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bugetul DIMMMAT, pe 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sura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creditelor, din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pe durata derul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 din surse proprii ale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a 30% din creditele acordate se realizeaz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limita sumei maxime de 8.524.286 CHF, echivalent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lei la cursul convenit.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22.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area de la bugetul de stat, prin bugetul DIMMMAT, pe baza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ntocmirii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Fi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de proiect pentru alocarea bugetar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23.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Pentru rambursarea prefinan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procedura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urm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toarea: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1. 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AE transfer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sumele solicitate de aceasta pentru creditele de acordat, conform procedurilor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CC. Sumele se transfer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prin intermediul unui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„cont de tranzit”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deschis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DIMMMAT la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care va fi utilizat 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 pentru opera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iunile curente de (pre)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 a creditelor,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pentru constituirea Fondului Programului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urma ramburs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rilor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IMM a creditelor acordate.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2. 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Banca distribuie sumele transferate, corespunz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toare creditelor acordate/aprobate,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conformitate cu prevederile contractelor de credit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ncheiate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ntre aceasta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beneficiari.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3. 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ntocme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transmite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OI cereri de plat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pentru rambursarea, din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a sumelor transferate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tite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mpreun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documentele justificative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rapoartele aferente.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4. 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OI efectueaz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verificarea tehnic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financiar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cererilor de plat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le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 trimite la Autoritatea de Plat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(AP)/Ministerul Fondurilor Europene, care verific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conformitatea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legalitatea </w:t>
      </w:r>
      <w:r w:rsidRPr="00E96FE9">
        <w:rPr>
          <w:rFonts w:ascii="Helvetica" w:eastAsia="Times New Roman" w:hAnsi="Helvetica" w:cs="Times New Roman"/>
          <w:color w:val="333333"/>
          <w:sz w:val="21"/>
        </w:rPr>
        <w:lastRenderedPageBreak/>
        <w:t>acestora, certific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sumele solicitate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ntocme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 cereri de rambursare pe care le transmite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SECO.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5. 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SECO analizeaz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cererile de rambursare,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suma de rambursat pe care o transfer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AP.</w:t>
      </w:r>
    </w:p>
    <w:p w:rsidR="00E96FE9" w:rsidRPr="00E96FE9" w:rsidRDefault="00E96FE9" w:rsidP="00E96FE9">
      <w:pPr>
        <w:shd w:val="clear" w:color="auto" w:fill="FFFFFF"/>
        <w:spacing w:after="4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6. </w:t>
      </w:r>
      <w:r w:rsidRPr="00E96FE9">
        <w:rPr>
          <w:rFonts w:ascii="Helvetica" w:eastAsia="Times New Roman" w:hAnsi="Helvetica" w:cs="Times New Roman"/>
          <w:color w:val="333333"/>
          <w:sz w:val="21"/>
        </w:rPr>
        <w:t>AP ramburseaz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AE sumele aprobate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transferate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SECO,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Ordonan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de urgen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Guvernului nr. 62/2011 privind stabilirea cadrului financiar general pentru utilizarea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financiare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iene nerambursabile acordate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niei prin intermediul Programului de cooperare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iano-rom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reducerea disparit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ilor economice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sociale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Uniunii Europene extinse,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ionale aferente acestei asisten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e, aprobat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prin Legea nr.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2/2012,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rile ulterioare,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ale Ordinului viceprim-ministrului, ministrul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elor publice, nr 1.302/2012 pentru aprobarea Normelor metodologice de aplicare a prevederilor Ordonan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de urgen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Guvernului nr.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62/2011 privind stabilirea cadrului financiar general pentru utilizarea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financiare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iene nerambursabile acordate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niei prin intermediul Programului de cooperare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iano-rom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reducerea disparit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ilor economice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sociale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cadrul Uniunii Europene extinse,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 contribu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ionale aferente acestei asisten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e.</w:t>
      </w:r>
      <w:proofErr w:type="gramEnd"/>
    </w:p>
    <w:p w:rsidR="00E96FE9" w:rsidRPr="00E96FE9" w:rsidRDefault="00E96FE9" w:rsidP="00E96FE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a 2-a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area prin Fondul Programului (FP)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24.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PFP, pe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perioada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implementare a Programului se va crea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un Fond al Programului (FP), av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un scop final de sustenabilitate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Scopul ini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ial al FP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(pre)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 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Scopul final, de sustenabilitate, al FP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 a unor programe similare de sprijinire a IMM-urilor, dup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ncheierea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FP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constitui printr-un cont bancar denumit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„cont de tranzit”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deschis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numele DIMMMAT. Contul de tranzit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 utilizat pentru opera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iunile curente de (pre)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 a Programului pentru creditele aprobate/acordate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i, de asemenea, pentru eviden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FP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FP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considera a fi constituit de la data la care Banca deschide contul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„de tranzit”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numele DIMMMAT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realiz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scopului de sustenabilitate FP se va reconstitui din creditele returnate reprezent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70% din creditele rambursate (except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dob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nda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comisioanele achitate de IMM)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beneficiari,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ncep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cu prima 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primului credit rambursat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plata ultimului credit, pe toat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perioada de implementare 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(7)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FP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 gestionat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conformitate cu prevederile CC dintre AE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(8)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Conform CC dintre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cazul neramburs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totale sau par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iale a creditelor acordate, orice sum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recuperat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distribui </w:t>
      </w:r>
      <w:r w:rsidRPr="00E96FE9">
        <w:rPr>
          <w:rFonts w:ascii="Helvetica" w:eastAsia="Times New Roman" w:hAnsi="Helvetica" w:cs="Times New Roman"/>
          <w:i/>
          <w:iCs/>
          <w:color w:val="707070"/>
          <w:sz w:val="21"/>
        </w:rPr>
        <w:t>„pro rata”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(30%)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FP (70%) pe fiecare credit individual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(9)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Dup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rambursarea creditelor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beneficiari, Banca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pune Fondul la dispozi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iei nominalizate de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ile semnatare ale Acordului-cadru dintre Guvernul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niei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Consiliul Federal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ian.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a 3-a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area publicit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ii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25.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AE acceseaz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utilizeaz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suma din bugetul Programului care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alocat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pentru asigurarea publicit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Programului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mass-media, pe toat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durata acestuia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Banca </w:t>
      </w:r>
      <w:r>
        <w:rPr>
          <w:rFonts w:ascii="Helvetica" w:eastAsia="Times New Roman" w:hAnsi="Helvetica" w:cs="Times New Roman"/>
          <w:color w:val="333333"/>
          <w:sz w:val="21"/>
        </w:rPr>
        <w:t>is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stabile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utilizeaz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sum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din propriul buget pentru asigurarea publicit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Programului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mass-media, pe toat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durata acestuia.</w:t>
      </w:r>
    </w:p>
    <w:p w:rsidR="00E96FE9" w:rsidRPr="00E96FE9" w:rsidRDefault="00E96FE9" w:rsidP="00E96F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SEC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IUNEA a 4-a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Finan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area auditului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26.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AE asigur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area sumei din bugetul Programului care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alocat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pentru asigurarea auditului Programului, pe toat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durata acestuia.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VIII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Accesarea Programului de c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tre IMM-uri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27.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nscrierea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Program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IMM-urilor solicitante de credit se face direct la sediul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ncii sau la sucursala/filiala teritorial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acesteia, dup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caz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creditului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ii, solicitantul completeaz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depune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un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formular, care este semnat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tampilat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reprezentantul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u legal. Formularul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nso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it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ntreaga documenta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 cerut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institu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credit partener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normele interne de creditare.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28.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ordinea primirii formularelor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nscriere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limita bugetului alocat Programului, Banca analizeaz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IMM-urile solicitante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le selec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 cele beneficiare,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conform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normelor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procedurilor interne de creditare,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de eligibilitate men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cap. IV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La solicitarea Beneficiarului, Banca apeleaz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FNGCIMM pentru emiterea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necesare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creditului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Ca urmare a analiz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dosarului de credit, FNGCIMM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nu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solicitate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normele proprii de garantare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Beneficiarul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obligat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acopere, din resurse proprii, necesarul de garantare cerut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29.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situa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care IMM-ul solicitant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ndepline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 cerin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ele, Banca aprob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acordarea creditului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notific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Beneficiarul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cerin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ele Programului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cu CC, Banca poart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spunderea integral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privin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creditului, a urm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ririi ramburs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mprumutului,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 supravegherii utiliz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corecte 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mprumutului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Beneficiar, pentru achizi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de active fixe corporale (terenuri, cl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diri, echipamente, IT etc.)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necorporale (patente, 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rci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nregistrate etc.),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Art. 30.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Beneficiarul deschide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un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cont curent la indica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ncii,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vederea derul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opera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iunilor de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ncas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pl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Beneficiarul poate utiliza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mprumutul, cu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contractual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a face numai plata cheltuielilor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planul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pentru achizi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ionarea de active fixe corporale (terenuri, cl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diri, echipamente, IT etc.)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necorporale (patente, 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rci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nregistrate etc.),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Beneficiarul ramburseaz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creditul conform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din contractul semnat cu Banca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cazul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care beneficiarul nu </w:t>
      </w:r>
      <w:r>
        <w:rPr>
          <w:rFonts w:ascii="Helvetica" w:eastAsia="Times New Roman" w:hAnsi="Helvetica" w:cs="Times New Roman"/>
          <w:color w:val="333333"/>
          <w:sz w:val="21"/>
        </w:rPr>
        <w:t>is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ndepline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te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de plat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care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revin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contractului de creditare, Banca poate solicita executarea garan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iei emise de FNGCIMM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celelalte entit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garantare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Pe parcursul derul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creditului, Banca are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a controla, prin vizite de verificare, realizarea efectiv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preconizate de Beneficiar prin planul de investi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AE are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a afi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a, pe platformele sale on-line www.aippimm.ro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www.imm.gov.ro, lista IMM-urilor beneficiare de credite pe toat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perioada de implementare a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31.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acestui Program, B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ncii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strict interzis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area unor credite deja acordate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din surse proprii (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special cele care sunt subgarantate sau sunt depreciate) sau de a accepta preluarea lor prin ree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alonare sau restructurare.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IX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Publicitatea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32.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scopul atragerii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Program a IMM-urilor interesate, AE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Banca desf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>oar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mod obligatoriu,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care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asigure o publicitate corespunz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toare a Programului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mass-media din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nia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scopul inform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publicului, AE creeaz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utilizeaz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platform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on-line dedicat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Programului.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33.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scopul promov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Programului, AE organizeaz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desf</w:t>
      </w:r>
      <w:r>
        <w:rPr>
          <w:rFonts w:ascii="Helvetica" w:eastAsia="Times New Roman" w:hAnsi="Helvetica" w:cs="Times New Roman"/>
          <w:color w:val="333333"/>
          <w:sz w:val="21"/>
        </w:rPr>
        <w:t>as</w:t>
      </w:r>
      <w:r w:rsidRPr="00E96FE9">
        <w:rPr>
          <w:rFonts w:ascii="Helvetica" w:eastAsia="Times New Roman" w:hAnsi="Helvetica" w:cs="Times New Roman"/>
          <w:color w:val="333333"/>
          <w:sz w:val="21"/>
        </w:rPr>
        <w:t>oar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un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eveniment public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Rom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nia, 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 la lansarea,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la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ncheierea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Conform Ghidului de informare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promovare al PCER, AE, Banca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beneficiarii IMM sunt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foloseasc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instrumentarul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recomand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rile referitoare la respectarea normelor de asigurare a identit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vizuale a Programului pe durata derul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acestuia.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X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 Monitorizare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 control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34.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Monitorizarea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controlul implement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ntregului Program la nivel general se efectueaz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AE,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regulile ajutorului de minimis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Banca monitorizeaz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controleaz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derularea creditelor acordate.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35.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Pentru monitorizarea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controlul riscului, activitatea de management al riscului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efectua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PFP.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CAPITOLUL XI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Auditul Programului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36.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Auditul Programului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activitate externalizat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, realizat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un auditor certificat, care este selec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ionat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AE conform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vigoare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cerin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elor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elve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iene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Auditorul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efectua auditul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vigoare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cu Standardul interna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 de audit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Activitatea de audit presupune auditul financiar al cererilor de plat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al rapoartelor aferente, examinarea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detaliu a managementului Programului, a procedurilor, bugetului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cheltuielilor efectuate,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nregistrarea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eviden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ele contabile ale DIMMMAT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Auditorul va verifica utilizarea corect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fondurilor, va face o analiz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sistemului de contabilitate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control intern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 face recomand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privind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mbun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irea managementului financiar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 raporta orice fraud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existent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presupus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precum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neregulile constatate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Rezultatele auditului Programului sunt prezentate AE sub forma unui raport de audit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ntocmit de auditor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plus, departamentul cu rol de autoritate de audit, din cadrul Ministerului Finan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elor Publice, va efectua misiuni de audit cu ocazia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rora va verifica utilizarea corect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fondurilor, va face recomand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pentru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mbun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irea sistemelor de control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va raporta orice fraud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neregul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presupus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existent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.</w:t>
      </w:r>
    </w:p>
    <w:p w:rsidR="00E96FE9" w:rsidRPr="00E96FE9" w:rsidRDefault="00E96FE9" w:rsidP="00E96FE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XII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 Prevederi referitoare la raportarea 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 monitorizarea</w:t>
      </w:r>
    </w:p>
    <w:p w:rsidR="00E96FE9" w:rsidRPr="00E96FE9" w:rsidRDefault="00E96FE9" w:rsidP="00E96FE9">
      <w:pPr>
        <w:shd w:val="clear" w:color="auto" w:fill="FFFFFF"/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ajutoarelor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minimis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37.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Furnizorul ajutorului de stat/de minimis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este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DIMMMAT/AE din bugetul propriu alocat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acordat prin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fiec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rui Beneficiar.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38.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Banca se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asigura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Beneficiarul finan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va da o declara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ie privind ajutoarele de stat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ajutoarele de minimis,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Regulamentului (CE) nr. 1.998/2006, de care a beneficiat pe parcursul preceden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ilor 2 ani fiscali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al anului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curs, astfel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corespund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cu prevederile cap.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IV privind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de eligibilitate ale Beneficiarului.</w:t>
      </w:r>
      <w:proofErr w:type="gramEnd"/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39.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Schema de ajutor de minimis din cadrul Programului, prezentat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conform celor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PFP aprobat de SECO, va fi publicat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integral pe site-ul Furnizorului de ajutor de stat - DIMMMAT/AE la adresele www.aippimm.ro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www.imm.gov.ro.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40.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Raportarea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monitorizarea ajutoarelor acordate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baza prezentei scheme se fac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comunitar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cu prevederile Regulamentului privind procedurile de monitorizare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ajutoarelor de stat, pus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aplicare prin Ordinul pre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edintelui Consiliului Concuren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nr. 175/2007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Furnizorul de ajutor de stat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streaz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eviden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detaliat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ajutoarelor acordate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prezentei scheme pe o durat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10 ani de la data la care ultima alocare specific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fost acordat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prezentei scheme. Aceast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eviden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trebuie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con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toate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necesare pentru a demonstra respectarea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impuse de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comunitar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domeniul ajutorului de stat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Furnizorul de ajutor de stat are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de a supraveghea permanent ajutoarele acordate, aflate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derulare,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de a dispune 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surile care se impun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cazul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lc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condi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iilor impuse prin prezenta schem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prin legisla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sau european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aplicabil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momentul respectiv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(4)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Furnizorul de ajutor de stat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are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a transmite Consiliului Concuren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formatul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termenul prev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zute de Regulamentul privind procedurile de monitorizare a ajutoarelor de stat, pus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aplicare prin Ordinul pre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edintelui Consiliului Concuren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ei nr. 175/2007, toate datele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iile necesare pentru monitorizarea ajutoarelor de stat la nivel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ional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(5)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n cazul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care exist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ndoieli serioase cu privire la datele transmise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Furnizorul de ajutor de stat, Consiliul Concuren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ei poate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solicite date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suplimentare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i, dup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caz,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fac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verific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 la fa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locului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(6)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Furnizorul de ajutor de stat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transmite spre informare Consiliului Concuren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prezenta schem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termen de 15 zile de la data adopt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 acesteia, conform art. 6 din Ordonan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de urgen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Guvernului nr.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117/2006 privind procedurile na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ionale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domeniul ajutorului de stat, aprobat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cu modific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complet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 prin Legea nr.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137/2007.</w:t>
      </w:r>
      <w:proofErr w:type="gramEnd"/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41.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DIMMMAT/AE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realiza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ine o eviden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ajutoarelor acordate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baza Programului, pe baza rapoartelor transmise de Banc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, astfel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fie posibil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identificarea valorii, momentului acord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rii, modalit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de acordare, provenien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ei finan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rii, duratei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metodei de calcul al ajutoarelor acordate. Aceast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eviden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fi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strat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la DIMMMAT timp de 10 ani de la data ultimei aloc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Pentru realizarea acestei eviden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e, Banca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va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transmite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tre AE toate datele solicitate de aceasta,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conformitate cu prevederile CC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(3)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 Beneficiarii de credite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 se oblig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in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eviden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specific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finan</w:t>
      </w:r>
      <w:r>
        <w:rPr>
          <w:rFonts w:ascii="Helvetica" w:eastAsia="Times New Roman" w:hAnsi="Helvetica" w:cs="Times New Roman"/>
          <w:color w:val="333333"/>
          <w:sz w:val="21"/>
        </w:rPr>
        <w:t>ta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rii prin creditele acordate, considerate a proveni din ajutoare financiare primite, conform unei scheme de minimis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a altor ajutoare de stat. Ace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tia sunt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arhiveze eviden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a specific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o p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streze o perioad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de 10 ani.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XIII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Confiden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ialitate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42. -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(1)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Documentele justificative depuse de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solicitan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Programului sunt confiden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iale, AE av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obliga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ia de a nu dezv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lui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ii men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ionate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acestea 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tre ter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e persoane, cu excep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ia cazului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care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iile sunt furnizate organelor abilitate ale statului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exercitarea atribu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iilor </w:t>
      </w:r>
      <w:proofErr w:type="gramStart"/>
      <w:r w:rsidRPr="00E96FE9">
        <w:rPr>
          <w:rFonts w:ascii="Helvetica" w:eastAsia="Times New Roman" w:hAnsi="Helvetica" w:cs="Times New Roman"/>
          <w:color w:val="333333"/>
          <w:sz w:val="21"/>
        </w:rPr>
        <w:t>ce</w:t>
      </w:r>
      <w:proofErr w:type="gramEnd"/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le revin</w:t>
      </w:r>
    </w:p>
    <w:p w:rsidR="00E96FE9" w:rsidRPr="00E96FE9" w:rsidRDefault="00E96FE9" w:rsidP="00E96FE9">
      <w:pPr>
        <w:shd w:val="clear" w:color="auto" w:fill="FFFFFF"/>
        <w:spacing w:after="7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(2)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AE este autorizat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s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publice,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cadrul activit</w:t>
      </w:r>
      <w:r>
        <w:rPr>
          <w:rFonts w:ascii="Helvetica" w:eastAsia="Times New Roman" w:hAnsi="Helvetica" w:cs="Times New Roman"/>
          <w:color w:val="333333"/>
          <w:sz w:val="21"/>
        </w:rPr>
        <w:t>at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 de promovare a Programului, </w:t>
      </w:r>
      <w:r>
        <w:rPr>
          <w:rFonts w:ascii="Helvetica" w:eastAsia="Times New Roman" w:hAnsi="Helvetica" w:cs="Times New Roman"/>
          <w:color w:val="333333"/>
          <w:sz w:val="21"/>
        </w:rPr>
        <w:t>i</w:t>
      </w:r>
      <w:r w:rsidRPr="00E96FE9">
        <w:rPr>
          <w:rFonts w:ascii="Helvetica" w:eastAsia="Times New Roman" w:hAnsi="Helvetica" w:cs="Times New Roman"/>
          <w:color w:val="333333"/>
          <w:sz w:val="21"/>
        </w:rPr>
        <w:t>n orice form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mediu, incluz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nd internetul, informa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iile referitoare la numele Beneficiarului, suma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i/sau scopul creditului acordat, a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ezarea geografic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a proiectului (localitatea </w:t>
      </w:r>
      <w:r>
        <w:rPr>
          <w:rFonts w:ascii="Helvetica" w:eastAsia="Times New Roman" w:hAnsi="Helvetica" w:cs="Times New Roman"/>
          <w:color w:val="333333"/>
          <w:sz w:val="21"/>
        </w:rPr>
        <w:t>s</w:t>
      </w:r>
      <w:r w:rsidRPr="00E96FE9">
        <w:rPr>
          <w:rFonts w:ascii="Helvetica" w:eastAsia="Times New Roman" w:hAnsi="Helvetica" w:cs="Times New Roman"/>
          <w:color w:val="333333"/>
          <w:sz w:val="21"/>
        </w:rPr>
        <w:t>i jude</w:t>
      </w:r>
      <w:r>
        <w:rPr>
          <w:rFonts w:ascii="Helvetica" w:eastAsia="Times New Roman" w:hAnsi="Helvetica" w:cs="Times New Roman"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color w:val="333333"/>
          <w:sz w:val="21"/>
        </w:rPr>
        <w:t>ul).</w:t>
      </w:r>
    </w:p>
    <w:p w:rsidR="00E96FE9" w:rsidRPr="00E96FE9" w:rsidRDefault="00E96FE9" w:rsidP="00E96FE9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CAPITOLUL XIV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 Dispozi</w:t>
      </w:r>
      <w:r>
        <w:rPr>
          <w:rFonts w:ascii="Helvetica" w:eastAsia="Times New Roman" w:hAnsi="Helvetica" w:cs="Times New Roman"/>
          <w:b/>
          <w:bCs/>
          <w:color w:val="333333"/>
          <w:sz w:val="21"/>
        </w:rPr>
        <w:t>t</w:t>
      </w: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ii finale</w:t>
      </w:r>
    </w:p>
    <w:p w:rsidR="00E96FE9" w:rsidRPr="00E96FE9" w:rsidRDefault="00E96FE9" w:rsidP="00E96FE9">
      <w:pPr>
        <w:shd w:val="clear" w:color="auto" w:fill="FFFFFF"/>
        <w:spacing w:after="105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</w:rPr>
        <w:t>Art. 43. -</w:t>
      </w:r>
      <w:r w:rsidRPr="00E96FE9">
        <w:rPr>
          <w:rFonts w:ascii="Helvetica" w:eastAsia="Times New Roman" w:hAnsi="Helvetica" w:cs="Times New Roman"/>
          <w:color w:val="333333"/>
          <w:sz w:val="21"/>
        </w:rPr>
        <w:t> Anexa la procedura de implementare face parte integrant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 xml:space="preserve"> din prezenta hot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</w:t>
      </w:r>
      <w:r>
        <w:rPr>
          <w:rFonts w:ascii="Helvetica" w:eastAsia="Times New Roman" w:hAnsi="Helvetica" w:cs="Times New Roman"/>
          <w:color w:val="333333"/>
          <w:sz w:val="21"/>
        </w:rPr>
        <w:t>a</w:t>
      </w:r>
      <w:r w:rsidRPr="00E96FE9">
        <w:rPr>
          <w:rFonts w:ascii="Helvetica" w:eastAsia="Times New Roman" w:hAnsi="Helvetica" w:cs="Times New Roman"/>
          <w:color w:val="333333"/>
          <w:sz w:val="21"/>
        </w:rPr>
        <w:t>re.</w:t>
      </w:r>
    </w:p>
    <w:p w:rsidR="00E96FE9" w:rsidRPr="00E96FE9" w:rsidRDefault="00E96FE9" w:rsidP="00E96FE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Note de subsol</w:t>
      </w:r>
    </w:p>
    <w:p w:rsidR="00E96FE9" w:rsidRPr="00E96FE9" w:rsidRDefault="00E96FE9" w:rsidP="00E96FE9">
      <w:pPr>
        <w:shd w:val="clear" w:color="auto" w:fill="FFFFFF"/>
        <w:spacing w:line="300" w:lineRule="atLeast"/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</w:pP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lastRenderedPageBreak/>
        <w:t xml:space="preserve">1 Ajutor ilegal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nseamn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</w:t>
      </w:r>
      <w:proofErr w:type="gramStart"/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un</w:t>
      </w:r>
      <w:proofErr w:type="gramEnd"/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ajutor de stat nou, pus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n aplicare cu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nc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lcarea condi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iilor prev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zute la articolul 93 alineatul (3) din tratat;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n conformitate cu art. </w:t>
      </w:r>
      <w:proofErr w:type="gramStart"/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93 alin.</w:t>
      </w:r>
      <w:proofErr w:type="gramEnd"/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(3) din Tratat, orice planuri de acordare a unui nou ajutor trebuie notificate Comisiei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s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i puse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 aplicare nu mai dup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autorizarea lor de c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tre Comisie;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ntruc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t, pentru a asigura respectarea articolului 93 din tratat,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 special a obliga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t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iei de notificare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s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 a clauzei suspensive prev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zute la articolul 93 alineatul (3), Comisia trebuie s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a</w:t>
      </w:r>
      <w:r w:rsidRPr="00E96FE9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examineze toate cazurile de ajutor ilegal.</w:t>
      </w:r>
    </w:p>
    <w:p w:rsidR="00A7348B" w:rsidRDefault="00E96FE9" w:rsidP="00E96FE9"/>
    <w:sectPr w:rsidR="00A7348B" w:rsidSect="0046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E96FE9"/>
    <w:rsid w:val="0046224D"/>
    <w:rsid w:val="00664175"/>
    <w:rsid w:val="007F7F27"/>
    <w:rsid w:val="00E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vbold">
    <w:name w:val="hvbold"/>
    <w:basedOn w:val="DefaultParagraphFont"/>
    <w:rsid w:val="00E96FE9"/>
  </w:style>
  <w:style w:type="character" w:customStyle="1" w:styleId="apple-converted-space">
    <w:name w:val="apple-converted-space"/>
    <w:basedOn w:val="DefaultParagraphFont"/>
    <w:rsid w:val="00E96FE9"/>
  </w:style>
  <w:style w:type="character" w:customStyle="1" w:styleId="hvcapitolcontent">
    <w:name w:val="hvcapitolcontent"/>
    <w:basedOn w:val="DefaultParagraphFont"/>
    <w:rsid w:val="00E96FE9"/>
  </w:style>
  <w:style w:type="character" w:customStyle="1" w:styleId="hvarticolid">
    <w:name w:val="hvarticolid"/>
    <w:basedOn w:val="DefaultParagraphFont"/>
    <w:rsid w:val="00E96FE9"/>
  </w:style>
  <w:style w:type="character" w:customStyle="1" w:styleId="hvarticolcontent">
    <w:name w:val="hvarticolcontent"/>
    <w:basedOn w:val="DefaultParagraphFont"/>
    <w:rsid w:val="00E96FE9"/>
  </w:style>
  <w:style w:type="character" w:customStyle="1" w:styleId="hvenumid">
    <w:name w:val="hvenumid"/>
    <w:basedOn w:val="DefaultParagraphFont"/>
    <w:rsid w:val="00E96FE9"/>
  </w:style>
  <w:style w:type="character" w:customStyle="1" w:styleId="hvenumcontent">
    <w:name w:val="hvenumcontent"/>
    <w:basedOn w:val="DefaultParagraphFont"/>
    <w:rsid w:val="00E96FE9"/>
  </w:style>
  <w:style w:type="character" w:customStyle="1" w:styleId="hvsubpunctid">
    <w:name w:val="hvsubpunctid"/>
    <w:basedOn w:val="DefaultParagraphFont"/>
    <w:rsid w:val="00E96FE9"/>
  </w:style>
  <w:style w:type="character" w:customStyle="1" w:styleId="hvsubpunctcontent">
    <w:name w:val="hvsubpunctcontent"/>
    <w:basedOn w:val="DefaultParagraphFont"/>
    <w:rsid w:val="00E96FE9"/>
  </w:style>
  <w:style w:type="character" w:customStyle="1" w:styleId="hvalineatid">
    <w:name w:val="hvalineatid"/>
    <w:basedOn w:val="DefaultParagraphFont"/>
    <w:rsid w:val="00E96FE9"/>
  </w:style>
  <w:style w:type="character" w:customStyle="1" w:styleId="hvalineatcontent">
    <w:name w:val="hvalineatcontent"/>
    <w:basedOn w:val="DefaultParagraphFont"/>
    <w:rsid w:val="00E96FE9"/>
  </w:style>
  <w:style w:type="character" w:customStyle="1" w:styleId="hvsectiunecontent">
    <w:name w:val="hvsectiunecontent"/>
    <w:basedOn w:val="DefaultParagraphFont"/>
    <w:rsid w:val="00E96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99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07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20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86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862">
              <w:marLeft w:val="60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728">
              <w:marLeft w:val="60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39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714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479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415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725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69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923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153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7711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8296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792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53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76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63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6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59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571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781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224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464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5338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64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23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559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517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747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06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377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3226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354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566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8233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255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922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618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386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49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46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706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45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037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2182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29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25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652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059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2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747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9328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6966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90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82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97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39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2676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702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3778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74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845">
              <w:marLeft w:val="60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1858">
              <w:marLeft w:val="60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587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180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35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85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78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05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11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561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32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507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172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635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692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49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03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63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19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243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9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33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689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61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53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894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124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2203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624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753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24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691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87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8386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59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737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4143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46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40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561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632">
              <w:marLeft w:val="45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116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045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2585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93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09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519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34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83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00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70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1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089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997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66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75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420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91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108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8901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40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1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707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94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70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62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04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814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06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604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77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219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79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27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03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197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12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5128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0202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294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31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35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59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06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71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6162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624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98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15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74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290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442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323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11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1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53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714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98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237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7177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242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016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457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707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25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186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78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78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78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900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940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28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2865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73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405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56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13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208">
              <w:marLeft w:val="15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73">
              <w:marLeft w:val="22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1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62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4753</Words>
  <Characters>30329</Characters>
  <Application>Microsoft Office Word</Application>
  <DocSecurity>0</DocSecurity>
  <Lines>618</Lines>
  <Paragraphs>185</Paragraphs>
  <ScaleCrop>false</ScaleCrop>
  <Company/>
  <LinksUpToDate>false</LinksUpToDate>
  <CharactersWithSpaces>34897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2014-02-18T16:57:00Z</dcterms:created>
  <dcterms:modified xsi:type="dcterms:W3CDTF">2014-02-18T17:12:00Z</dcterms:modified>
</cp:coreProperties>
</file>