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62" w:rsidRPr="00EE5F41" w:rsidRDefault="00D77AAD">
      <w:pPr>
        <w:rPr>
          <w:rFonts w:cstheme="minorHAnsi"/>
          <w:b/>
          <w:lang w:val="ro-RO"/>
        </w:rPr>
      </w:pPr>
      <w:r w:rsidRPr="00EE5F41">
        <w:rPr>
          <w:rFonts w:cstheme="minorHAnsi"/>
          <w:b/>
          <w:lang w:val="ro-RO"/>
        </w:rPr>
        <w:t>Marți este termenul-limită pentru:</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Declarația de înregistrare fiscală/Declarația de mențiuni pentru persoane juridice, asocieri și alte entități fără personalitate juridică, Formularul 010</w:t>
      </w:r>
      <w:r w:rsidRPr="00EE5F41">
        <w:rPr>
          <w:rFonts w:asciiTheme="minorHAnsi" w:hAnsiTheme="minorHAnsi" w:cstheme="minorHAnsi"/>
          <w:color w:val="515151"/>
          <w:sz w:val="22"/>
          <w:szCs w:val="22"/>
        </w:rPr>
        <w:t>. Se depune de către persoanele juridice care au obligația să se înregistreze ca plătitori de TVA în urma depășirii plafonului legal de scutire.</w:t>
      </w:r>
      <w:r w:rsidR="00A0242A">
        <w:rPr>
          <w:rFonts w:asciiTheme="minorHAnsi" w:hAnsiTheme="minorHAnsi" w:cstheme="minorHAnsi"/>
          <w:color w:val="515151"/>
          <w:sz w:val="22"/>
          <w:szCs w:val="22"/>
        </w:rPr>
        <w:t xml:space="preserve"> </w:t>
      </w:r>
      <w:r w:rsidRPr="00EE5F41">
        <w:rPr>
          <w:rFonts w:asciiTheme="minorHAnsi" w:hAnsiTheme="minorHAnsi" w:cstheme="minorHAnsi"/>
          <w:color w:val="515151"/>
          <w:sz w:val="22"/>
          <w:szCs w:val="22"/>
        </w:rPr>
        <w:t>Persoana impozabilă care aplică regimul special de scutire şi a cărei cifră de afaceri este mai mare sau egală cu plafonul de scutire trebuie să solicite înregistrarea în scopuri de TVA, în termen de zece zile de la data atingerii ori depăşirii plafonului.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Declaraţia de înregistrare fiscală/Declaraţia de menţiuni pentru persoanele fizice române, Formularul 020</w:t>
      </w:r>
      <w:r w:rsidRPr="00EE5F41">
        <w:rPr>
          <w:rFonts w:asciiTheme="minorHAnsi" w:hAnsiTheme="minorHAnsi" w:cstheme="minorHAnsi"/>
          <w:color w:val="515151"/>
          <w:sz w:val="22"/>
          <w:szCs w:val="22"/>
        </w:rPr>
        <w:t>. Se depune de</w:t>
      </w:r>
      <w:r w:rsidR="00A0242A">
        <w:rPr>
          <w:rFonts w:asciiTheme="minorHAnsi" w:hAnsiTheme="minorHAnsi" w:cstheme="minorHAnsi"/>
          <w:color w:val="515151"/>
          <w:sz w:val="22"/>
          <w:szCs w:val="22"/>
        </w:rPr>
        <w:t xml:space="preserve"> persoanele fizice, altele decâ</w:t>
      </w:r>
      <w:r w:rsidRPr="00EE5F41">
        <w:rPr>
          <w:rFonts w:asciiTheme="minorHAnsi" w:hAnsiTheme="minorHAnsi" w:cstheme="minorHAnsi"/>
          <w:color w:val="515151"/>
          <w:sz w:val="22"/>
          <w:szCs w:val="22"/>
        </w:rPr>
        <w:t>t cele care desfăşoară activităţi economice în mod independent sau exercită profesii libere, care au obligaţia să se înregistreze în scopuri de TVA în termen de zece zile de la data atingerii ori depăşirii plafonului legal de scutire.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Declaraţia de înregistrare fiscală/Declaraţia de menţiuni pentru persoanele fizice care desfăşoară activităţi economice în mod independent sau exercită profesii libere, Formularul 070</w:t>
      </w:r>
      <w:r w:rsidRPr="00EE5F41">
        <w:rPr>
          <w:rFonts w:asciiTheme="minorHAnsi" w:hAnsiTheme="minorHAnsi" w:cstheme="minorHAnsi"/>
          <w:color w:val="515151"/>
          <w:sz w:val="22"/>
          <w:szCs w:val="22"/>
        </w:rPr>
        <w:t>. Se depune de persoanele fizice care desfăşoară activităţi economice în mod independent sau exercită profesii libere, care au obligaţia să se înregistreze ca plătitori de TVA în urma depăşirii plafonului legal de scutire.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Notificarea privind aplicarea/încetarea aplicării regimului special pentru agricultori, Formularul 087</w:t>
      </w:r>
      <w:r w:rsidRPr="00EE5F41">
        <w:rPr>
          <w:rFonts w:asciiTheme="minorHAnsi" w:hAnsiTheme="minorHAnsi" w:cstheme="minorHAnsi"/>
          <w:color w:val="515151"/>
          <w:sz w:val="22"/>
          <w:szCs w:val="22"/>
        </w:rPr>
        <w:t>. Se depune de către persoanele impozabile înregistrate în scopuri de TVA conform art. 316 din Codul fiscal, care optează pentru aplicarea regimului special pentru agricultori.</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Fonts w:asciiTheme="minorHAnsi" w:hAnsiTheme="minorHAnsi" w:cstheme="minorHAnsi"/>
          <w:color w:val="515151"/>
          <w:sz w:val="22"/>
          <w:szCs w:val="22"/>
        </w:rPr>
        <w:t>Totodată, până marți trebuie plătite și următoarele:</w:t>
      </w:r>
    </w:p>
    <w:p w:rsidR="00D77AAD" w:rsidRPr="00EE5F41" w:rsidRDefault="00D77AAD" w:rsidP="00D77AAD">
      <w:pPr>
        <w:pStyle w:val="ListParagraph"/>
        <w:numPr>
          <w:ilvl w:val="0"/>
          <w:numId w:val="1"/>
        </w:numPr>
        <w:spacing w:before="100" w:beforeAutospacing="1" w:after="100" w:afterAutospacing="1" w:line="240" w:lineRule="auto"/>
        <w:rPr>
          <w:rFonts w:eastAsia="Times New Roman" w:cstheme="minorHAnsi"/>
          <w:color w:val="515151"/>
        </w:rPr>
      </w:pPr>
      <w:r w:rsidRPr="00EE5F41">
        <w:rPr>
          <w:rFonts w:eastAsia="Times New Roman" w:cstheme="minorHAnsi"/>
          <w:b/>
          <w:bCs/>
          <w:color w:val="515151"/>
        </w:rPr>
        <w:t>Plata taxei pentru servicii de reclamă şi publicitate</w:t>
      </w:r>
      <w:r w:rsidRPr="00EE5F41">
        <w:rPr>
          <w:rFonts w:eastAsia="Times New Roman" w:cstheme="minorHAnsi"/>
          <w:color w:val="515151"/>
        </w:rPr>
        <w:t>. Taxa pentru servicii de reclamă şi publicitate se varsă la bugetul local, lunar, până la data de zece a lunii următoare celei în care a intrat în vigoare contractul de prestări de servicii de reclamă şi publicitate şi trebuie achitată de către orice persoană care beneficiază de servicii de reclamă şi publicitate în România în baza unui contract sau a unui alt fel de înţelegere încheiată cu altă persoană, cu excepţia serviciilor de reclamă şi publicitate realizate prin mijloacele de informare în masă scrise şi audiovizuale;</w:t>
      </w:r>
    </w:p>
    <w:p w:rsidR="00D77AAD" w:rsidRPr="00D77AAD" w:rsidRDefault="00D77AAD" w:rsidP="00D77AAD">
      <w:pPr>
        <w:numPr>
          <w:ilvl w:val="0"/>
          <w:numId w:val="1"/>
        </w:numPr>
        <w:spacing w:before="100" w:beforeAutospacing="1" w:after="100" w:afterAutospacing="1" w:line="240" w:lineRule="auto"/>
        <w:rPr>
          <w:rFonts w:eastAsia="Times New Roman" w:cstheme="minorHAnsi"/>
          <w:color w:val="515151"/>
        </w:rPr>
      </w:pPr>
      <w:r w:rsidRPr="00EE5F41">
        <w:rPr>
          <w:rFonts w:eastAsia="Times New Roman" w:cstheme="minorHAnsi"/>
          <w:b/>
          <w:bCs/>
          <w:color w:val="515151"/>
        </w:rPr>
        <w:t>Plata impozitului pe spectacole şi depunerea declaraţiei privind încasările din spectacole</w:t>
      </w:r>
      <w:r w:rsidRPr="00D77AAD">
        <w:rPr>
          <w:rFonts w:eastAsia="Times New Roman" w:cstheme="minorHAnsi"/>
          <w:color w:val="515151"/>
        </w:rPr>
        <w:t>. Impozitul pe spectacole se plăteşte lunar până la data de zece, inclusiv, a lunii următoare celei în care a avut loc spectacolul la bugetele locale ale comunelor, ale oraşelor sau ale municipiilor, după caz, în a căror rază de competenţă se desfăşoară. O astfel de taxă trebuie plătită de persoanele fizice şi persoanele juridice care organizează manifestări artistice, competiţii sportive sau orice altă activitate distractivă, cu caracter permanent sau ocazional, cu excepţia spectacolelor organizate în scopuri umanitare.</w:t>
      </w:r>
    </w:p>
    <w:p w:rsidR="00D77AAD" w:rsidRPr="00EE5F41" w:rsidRDefault="00D77AAD" w:rsidP="00D77AAD">
      <w:pPr>
        <w:spacing w:before="100" w:beforeAutospacing="1" w:after="100" w:afterAutospacing="1" w:line="240" w:lineRule="auto"/>
        <w:rPr>
          <w:rFonts w:eastAsia="Times New Roman" w:cstheme="minorHAnsi"/>
          <w:color w:val="515151"/>
        </w:rPr>
      </w:pPr>
    </w:p>
    <w:p w:rsidR="00D77AAD" w:rsidRPr="00EE5F41" w:rsidRDefault="00D77AAD" w:rsidP="00D77AAD">
      <w:pPr>
        <w:spacing w:before="100" w:beforeAutospacing="1" w:after="100" w:afterAutospacing="1" w:line="240" w:lineRule="auto"/>
        <w:jc w:val="both"/>
        <w:rPr>
          <w:rFonts w:eastAsia="Times New Roman" w:cstheme="minorHAnsi"/>
          <w:b/>
          <w:color w:val="515151"/>
        </w:rPr>
      </w:pPr>
      <w:r w:rsidRPr="00EE5F41">
        <w:rPr>
          <w:rFonts w:eastAsia="Times New Roman" w:cstheme="minorHAnsi"/>
          <w:b/>
          <w:color w:val="515151"/>
        </w:rPr>
        <w:lastRenderedPageBreak/>
        <w:t>16 octombrie va fi ultima zi pentru efectuarea următoarelor raportări:</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ţigarete/ţigări şi ţigări de foi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tutun fin tăiat, destinat rulării în ţigarete/alte tutunuri de fumat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achizițiile/utilizările de produse accizabile și livrările de produse finite rezultate în luna ... anul ...</w:t>
      </w:r>
      <w:r w:rsidRPr="00D77AAD">
        <w:rPr>
          <w:rFonts w:eastAsia="Times New Roman" w:cstheme="minorHAnsi"/>
          <w:color w:val="515151"/>
        </w:rPr>
        <w:t>, pentru luna precedentă. Se depune de către operatorii economici care dețin autorizații de utilizator final (produse energetice, alcool etilic şi produse alcoolice).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 și livrările de produse accizabile pentru luna precedentă</w:t>
      </w:r>
      <w:r w:rsidRPr="00D77AAD">
        <w:rPr>
          <w:rFonts w:eastAsia="Times New Roman" w:cstheme="minorHAnsi"/>
          <w:color w:val="515151"/>
        </w:rPr>
        <w:t>. Se depune de către destinatarii înregistraţi şi reprezentanţii fiscali pentru achiziţiile şi livrările de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alcool și băuturi spirtoase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vinuri/bauturi fermentate/produse intermediare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bere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tutunuri prelucrate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produse energetice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depozitare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Jurnalele pentru luna precedentă privind livrările de combustibil destinat utilizării exclusiv pentru aviație sau navigaţie</w:t>
      </w:r>
      <w:r w:rsidRPr="00D77AAD">
        <w:rPr>
          <w:rFonts w:eastAsia="Times New Roman" w:cstheme="minorHAnsi"/>
          <w:color w:val="515151"/>
        </w:rPr>
        <w:t>. Trebuie depuse de către antrepozitarii autorizaţi pentru producţie/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lastRenderedPageBreak/>
        <w:t>Jurnalele pentru luna precedentă privind achizițiile/ livrările de combustibil destinat utilizării exclusiv pentru aviație sau navigaţie</w:t>
      </w:r>
      <w:r w:rsidRPr="00D77AAD">
        <w:rPr>
          <w:rFonts w:eastAsia="Times New Roman" w:cstheme="minorHAnsi"/>
          <w:color w:val="515151"/>
        </w:rPr>
        <w:t>. Se depun de către antrepozitarii autorizați pentru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privind livrările de produse accizabile în luna ... anul ... pentru luna precedentă</w:t>
      </w:r>
      <w:r w:rsidRPr="00D77AAD">
        <w:rPr>
          <w:rFonts w:eastAsia="Times New Roman" w:cstheme="minorHAnsi"/>
          <w:color w:val="515151"/>
        </w:rPr>
        <w:t>. Se depune de către operatorii economici care deţin autorizaţii de expeditor înregistrat.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Evidența achiziționării, utilizării și returnării marcajelor pentru luna precedentă</w:t>
      </w:r>
      <w:r w:rsidRPr="00D77AAD">
        <w:rPr>
          <w:rFonts w:eastAsia="Times New Roman" w:cstheme="minorHAnsi"/>
          <w:color w:val="515151"/>
        </w:rPr>
        <w:t>. Se depune de către antrepozitarii autorizaţi, destinatarii înregistraţi şi importatorii autorizaţi de produse supuse marcării.</w:t>
      </w:r>
    </w:p>
    <w:p w:rsidR="00D77AAD" w:rsidRPr="00EE5F41" w:rsidRDefault="00D77AAD" w:rsidP="00D77AAD">
      <w:pPr>
        <w:spacing w:before="100" w:beforeAutospacing="1" w:after="100" w:afterAutospacing="1" w:line="240" w:lineRule="auto"/>
        <w:jc w:val="both"/>
        <w:rPr>
          <w:rFonts w:cstheme="minorHAnsi"/>
          <w:color w:val="515151"/>
          <w:shd w:val="clear" w:color="auto" w:fill="FFFFFF"/>
        </w:rPr>
      </w:pPr>
      <w:r w:rsidRPr="00EE5F41">
        <w:rPr>
          <w:rStyle w:val="Strong"/>
          <w:rFonts w:cstheme="minorHAnsi"/>
          <w:color w:val="515151"/>
          <w:shd w:val="clear" w:color="auto" w:fill="FFFFFF"/>
        </w:rPr>
        <w:t>Important! </w:t>
      </w:r>
      <w:r w:rsidRPr="00EE5F41">
        <w:rPr>
          <w:rFonts w:cstheme="minorHAnsi"/>
          <w:color w:val="515151"/>
          <w:shd w:val="clear" w:color="auto" w:fill="FFFFFF"/>
        </w:rPr>
        <w:t xml:space="preserve">Cu toate că nu este declarație fiscală, </w:t>
      </w:r>
      <w:r w:rsidR="00A0242A">
        <w:rPr>
          <w:rFonts w:cstheme="minorHAnsi"/>
          <w:color w:val="515151"/>
          <w:shd w:val="clear" w:color="auto" w:fill="FFFFFF"/>
        </w:rPr>
        <w:t>îți reamintim</w:t>
      </w:r>
      <w:r w:rsidRPr="00EE5F41">
        <w:rPr>
          <w:rFonts w:cstheme="minorHAnsi"/>
          <w:color w:val="515151"/>
          <w:shd w:val="clear" w:color="auto" w:fill="FFFFFF"/>
        </w:rPr>
        <w:t xml:space="preserve"> că, până pe 15 octombrie, trebuie depusă declarația </w:t>
      </w:r>
      <w:r w:rsidRPr="00EE5F41">
        <w:rPr>
          <w:rFonts w:cstheme="minorHAnsi"/>
          <w:b/>
          <w:color w:val="515151"/>
          <w:shd w:val="clear" w:color="auto" w:fill="FFFFFF"/>
        </w:rPr>
        <w:t>Intrastat</w:t>
      </w:r>
      <w:r w:rsidRPr="00EE5F41">
        <w:rPr>
          <w:rFonts w:cstheme="minorHAnsi"/>
          <w:color w:val="515151"/>
          <w:shd w:val="clear" w:color="auto" w:fill="FFFFFF"/>
        </w:rPr>
        <w:t>, al cărei prag valoric este în 2017 de </w:t>
      </w:r>
      <w:r w:rsidRPr="00EE5F41">
        <w:rPr>
          <w:rStyle w:val="Strong"/>
          <w:rFonts w:cstheme="minorHAnsi"/>
          <w:color w:val="515151"/>
          <w:shd w:val="clear" w:color="auto" w:fill="FFFFFF"/>
        </w:rPr>
        <w:t>900.000 de lei</w:t>
      </w:r>
      <w:r w:rsidRPr="00EE5F41">
        <w:rPr>
          <w:rFonts w:cstheme="minorHAnsi"/>
          <w:color w:val="515151"/>
          <w:shd w:val="clear" w:color="auto" w:fill="FFFFFF"/>
        </w:rPr>
        <w:t>,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prima zi lucrătoare care urmeaza datei de 15 (</w:t>
      </w:r>
      <w:r w:rsidRPr="00EE5F41">
        <w:rPr>
          <w:rStyle w:val="Strong"/>
          <w:rFonts w:cstheme="minorHAnsi"/>
          <w:color w:val="515151"/>
          <w:shd w:val="clear" w:color="auto" w:fill="FFFFFF"/>
        </w:rPr>
        <w:t>16 octombrie</w:t>
      </w:r>
      <w:r w:rsidR="00A0242A">
        <w:rPr>
          <w:rStyle w:val="Strong"/>
          <w:rFonts w:cstheme="minorHAnsi"/>
          <w:color w:val="515151"/>
          <w:shd w:val="clear" w:color="auto" w:fill="FFFFFF"/>
        </w:rPr>
        <w:t xml:space="preserve"> </w:t>
      </w:r>
      <w:r w:rsidRPr="00EE5F41">
        <w:rPr>
          <w:rFonts w:cstheme="minorHAnsi"/>
          <w:color w:val="515151"/>
          <w:shd w:val="clear" w:color="auto" w:fill="FFFFFF"/>
        </w:rPr>
        <w:t xml:space="preserve">în cazul lunii în curs, în condițiile în care ziua de 15 pică într-o </w:t>
      </w:r>
      <w:r w:rsidR="00A0242A">
        <w:rPr>
          <w:rFonts w:cstheme="minorHAnsi"/>
          <w:color w:val="515151"/>
          <w:shd w:val="clear" w:color="auto" w:fill="FFFFFF"/>
        </w:rPr>
        <w:t>duminică</w:t>
      </w:r>
      <w:r w:rsidRPr="00EE5F41">
        <w:rPr>
          <w:rFonts w:cstheme="minorHAnsi"/>
          <w:color w:val="515151"/>
          <w:shd w:val="clear" w:color="auto" w:fill="FFFFFF"/>
        </w:rPr>
        <w:t>). </w:t>
      </w:r>
    </w:p>
    <w:p w:rsidR="00D77AAD" w:rsidRPr="00D77AAD" w:rsidRDefault="00D77AAD" w:rsidP="00D77AAD">
      <w:pPr>
        <w:spacing w:before="375" w:after="188" w:line="240" w:lineRule="auto"/>
        <w:outlineLvl w:val="1"/>
        <w:rPr>
          <w:rFonts w:eastAsia="Times New Roman" w:cstheme="minorHAnsi"/>
          <w:b/>
          <w:color w:val="515151"/>
        </w:rPr>
      </w:pPr>
      <w:r w:rsidRPr="00D77AAD">
        <w:rPr>
          <w:rFonts w:eastAsia="Times New Roman" w:cstheme="minorHAnsi"/>
          <w:b/>
          <w:color w:val="515151"/>
        </w:rPr>
        <w:t xml:space="preserve">20 </w:t>
      </w:r>
      <w:r w:rsidRPr="00EE5F41">
        <w:rPr>
          <w:rFonts w:eastAsia="Times New Roman" w:cstheme="minorHAnsi"/>
          <w:b/>
          <w:color w:val="515151"/>
        </w:rPr>
        <w:t>octombrie va fi</w:t>
      </w:r>
      <w:r w:rsidRPr="00D77AAD">
        <w:rPr>
          <w:rFonts w:eastAsia="Times New Roman" w:cstheme="minorHAnsi"/>
          <w:b/>
          <w:color w:val="515151"/>
        </w:rPr>
        <w:t xml:space="preserve"> termenul pentru depunerea:</w:t>
      </w:r>
    </w:p>
    <w:p w:rsidR="00D77AAD" w:rsidRPr="00EE5F41"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Declarației speciale de taxă pe valoarea adăugată pentru trimestrul precedent (sistem VOES)</w:t>
      </w:r>
      <w:r w:rsidRPr="00D77AAD">
        <w:rPr>
          <w:rFonts w:eastAsia="Times New Roman" w:cstheme="minorHAnsi"/>
          <w:color w:val="515151"/>
        </w:rPr>
        <w:t>. Se depune de către persoanele impozabile nestabilite în UE care prestează servicii electronice de telecomunicații, de radiodifiziune și televiziune persoanelor neimpozabile, dar și de persoanele impozabile stabilite în UE, dar în alt stat membru decât statul membru de consum care prestează servicii electronice, de telecomunicații, de radiodifiziune și televiziune.</w:t>
      </w:r>
    </w:p>
    <w:p w:rsidR="00D77AAD" w:rsidRPr="00EE5F41" w:rsidRDefault="00D77AAD" w:rsidP="00D77AAD">
      <w:pPr>
        <w:spacing w:before="390" w:after="390" w:line="240" w:lineRule="auto"/>
        <w:rPr>
          <w:rFonts w:eastAsia="Times New Roman" w:cstheme="minorHAnsi"/>
          <w:b/>
          <w:color w:val="515151"/>
        </w:rPr>
      </w:pPr>
      <w:r w:rsidRPr="00EE5F41">
        <w:rPr>
          <w:rFonts w:eastAsia="Times New Roman" w:cstheme="minorHAnsi"/>
          <w:b/>
          <w:color w:val="515151"/>
        </w:rPr>
        <w:t>Pe 25 octombrie își au termenul următoarele declarații: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Notificarea pentru încetarea aplicării sistemului TVA la încasare, Formularul 097</w:t>
      </w:r>
      <w:r w:rsidRPr="00EE5F41">
        <w:rPr>
          <w:rFonts w:cstheme="minorHAnsi"/>
          <w:color w:val="515151"/>
          <w:shd w:val="clear" w:color="auto" w:fill="FFFFFF"/>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Declaraţia privind obligaţiile de plată la bugetul de stat, Formularul 100</w:t>
      </w:r>
      <w:r w:rsidRPr="00EE5F41">
        <w:rPr>
          <w:rFonts w:cstheme="minorHAnsi"/>
          <w:color w:val="515151"/>
          <w:shd w:val="clear" w:color="auto" w:fill="FFFFFF"/>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Atenție!</w:t>
      </w:r>
      <w:r w:rsidRPr="00EE5F41">
        <w:rPr>
          <w:rFonts w:cstheme="minorHAnsi"/>
          <w:color w:val="515151"/>
          <w:shd w:val="clear" w:color="auto" w:fill="FFFFFF"/>
        </w:rPr>
        <w:t xml:space="preserve"> Până pe 25 octombrie, microîntreprinderile trebuie să achite impozitul pe venit aferent celui de-al treilea trimestru din 2017, în timp ce firmele plătitoare de impozit pe profit care aplică sistemul de declarare și plată a impozitului pe profit anual trebuie să efectueze plata anticipată aferentă trimestrului III din 2017. </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lastRenderedPageBreak/>
        <w:t>Declarația privind distribuirea între asociați a veniturilor și cheltuielilor, Formularul 104</w:t>
      </w:r>
      <w:r w:rsidRPr="00D77AAD">
        <w:rPr>
          <w:rFonts w:eastAsia="Times New Roman" w:cstheme="minorHAnsi"/>
          <w:color w:val="515151"/>
        </w:rPr>
        <w:t>. Se depune de către persoanele juridice străine și persoanele fizice nerezidente care desfășoară activitate în România într-o asociere cu sau fără personalitate juridică, precum și de persoanele fizice rezidente asociate cu persoane juridice române, pentru veniturile realizate atât în România cât și în străinătate din asocieri fără personalitate juridică.</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Declaraţia privind obligaţiile de plată a contribuţiilor sociale, impozitului pe venit si evidenţa nominală a persoanelor asigurate, Formularul 112</w:t>
      </w:r>
      <w:r w:rsidRPr="00D77AAD">
        <w:rPr>
          <w:rFonts w:eastAsia="Times New Roman" w:cstheme="minorHAnsi"/>
          <w:color w:val="515151"/>
        </w:rPr>
        <w:t>. Aceasta se depune pentru luna precedentă de către: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 xml:space="preserve">persoanele fizice și juridice care au calitatea de angajatori sau sunt asimilate acestora, instituțiile prevăzute la art.136 lit. d) - f) din noul </w:t>
      </w:r>
      <w:proofErr w:type="gramStart"/>
      <w:r w:rsidRPr="00D77AAD">
        <w:rPr>
          <w:rFonts w:eastAsia="Times New Roman" w:cstheme="minorHAnsi"/>
          <w:color w:val="515151"/>
        </w:rPr>
        <w:t>Cod  fiscal</w:t>
      </w:r>
      <w:proofErr w:type="gramEnd"/>
      <w:r w:rsidRPr="00D77AAD">
        <w:rPr>
          <w:rFonts w:eastAsia="Times New Roman" w:cstheme="minorHAnsi"/>
          <w:color w:val="515151"/>
        </w:rPr>
        <w:t>,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D77AAD" w:rsidRPr="00D77AAD" w:rsidRDefault="00D77AAD" w:rsidP="00D77AAD">
      <w:pPr>
        <w:spacing w:before="390" w:after="390" w:line="240" w:lineRule="auto"/>
        <w:rPr>
          <w:rFonts w:eastAsia="Times New Roman" w:cstheme="minorHAnsi"/>
          <w:color w:val="515151"/>
        </w:rPr>
      </w:pPr>
      <w:r w:rsidRPr="00D77AAD">
        <w:rPr>
          <w:rFonts w:eastAsia="Times New Roman" w:cstheme="minorHAnsi"/>
          <w:color w:val="515151"/>
        </w:rPr>
        <w:t xml:space="preserve">În plus, formularul 112 se depune și pentru trimestrul precedent (al </w:t>
      </w:r>
      <w:r w:rsidRPr="00EE5F41">
        <w:rPr>
          <w:rFonts w:eastAsia="Times New Roman" w:cstheme="minorHAnsi"/>
          <w:color w:val="515151"/>
        </w:rPr>
        <w:t>treilea</w:t>
      </w:r>
      <w:r w:rsidRPr="00D77AAD">
        <w:rPr>
          <w:rFonts w:eastAsia="Times New Roman" w:cstheme="minorHAnsi"/>
          <w:color w:val="515151"/>
        </w:rPr>
        <w:t xml:space="preserve"> din 2017) de către contribuabilii prevăzuți la art. 80 alin. (2) din Codul fiscal, respectiv:</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asociaţii, fundaţii sau alte entităţi fără scop patrimonial, persoane juridice;</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persoanele juridice plătitoare de impozit pe profit care, în 2016, au înregistrat venituri totale de până la 100.000 euro şi au avut un număr mediu de până la trei salariaţi exclusiv;</w:t>
      </w:r>
    </w:p>
    <w:p w:rsidR="00D77AAD" w:rsidRPr="00D77AAD"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persoanele juridice plătitoare de impozit pe veniturile microîntreprinderilor care, anul trecut, au avut un număr mediu de până la trei salariaţi exclusiv;</w:t>
      </w:r>
    </w:p>
    <w:p w:rsidR="00D77AAD" w:rsidRPr="00EE5F41" w:rsidRDefault="00D77AAD" w:rsidP="00D77AAD">
      <w:pPr>
        <w:numPr>
          <w:ilvl w:val="0"/>
          <w:numId w:val="6"/>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persoanele fizice autorizate şi întreprinderile individuale, precum şi persoanele fizice care exercită profesii liberale şi asocierile fără personalitate juridică constituite între persoane fizice, persoanele fizice care deţin capacitatea de a încheia contracte individuale de muncă în calitate de angajator, care au, potrivit legii, personal angajat pe bază de contract individual de muncă.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EE5F41">
        <w:rPr>
          <w:rFonts w:eastAsia="Times New Roman" w:cstheme="minorHAnsi"/>
          <w:color w:val="515151"/>
        </w:rPr>
        <w:t>. Se depune de către persoanele fizice care obţin salarii din străinătate pentru activităţi în România şi persoanele fizice române angajate ale misiunilor diplomatice şi posturilor consulare acreditate în România.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de taxă pe valoarea adăugată, Formularul 300</w:t>
      </w:r>
      <w:r w:rsidRPr="00EE5F41">
        <w:rPr>
          <w:rFonts w:eastAsia="Times New Roman" w:cstheme="minorHAnsi"/>
          <w:color w:val="515151"/>
        </w:rPr>
        <w:t>. Se depune lunar, trimestrial, semestrial sau anual de persoanele impozabile înregistrate în scopuri de TVA conform art. 316 din noul Cod fiscal. Formularul se completează electronic cu ajutorul </w:t>
      </w:r>
      <w:hyperlink r:id="rId5" w:tgtFrame="_blank" w:history="1">
        <w:r w:rsidRPr="00EE5F41">
          <w:rPr>
            <w:rFonts w:eastAsia="Times New Roman" w:cstheme="minorHAnsi"/>
            <w:color w:val="12B5E5"/>
            <w:u w:val="single"/>
          </w:rPr>
          <w:t>programului ANAF</w:t>
        </w:r>
      </w:hyperlink>
      <w:r w:rsidRPr="00EE5F41">
        <w:rPr>
          <w:rFonts w:eastAsia="Times New Roman" w:cstheme="minorHAnsi"/>
          <w:color w:val="515151"/>
        </w:rPr>
        <w:t>.</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special de taxă pe valoarea adăugată pentru luna precedentă, Formularul 301</w:t>
      </w:r>
      <w:r w:rsidRPr="00EE5F41">
        <w:rPr>
          <w:rFonts w:eastAsia="Times New Roman" w:cstheme="minorHAnsi"/>
          <w:color w:val="515151"/>
        </w:rPr>
        <w:t xml:space="preserve">. Se completează de persoanele menționate în instrucțiunile de completare a formularului, pentru fiecare </w:t>
      </w:r>
      <w:r w:rsidRPr="00EE5F41">
        <w:rPr>
          <w:rFonts w:eastAsia="Times New Roman" w:cstheme="minorHAnsi"/>
          <w:color w:val="515151"/>
        </w:rPr>
        <w:lastRenderedPageBreak/>
        <w:t>secțiune şi se întocmeşte în două exemplare, semnate şi ştampilate. Formularul se completează cu ajutorul </w:t>
      </w:r>
      <w:hyperlink r:id="rId6" w:tgtFrame="_blank" w:history="1">
        <w:r w:rsidRPr="00EE5F41">
          <w:rPr>
            <w:rFonts w:eastAsia="Times New Roman" w:cstheme="minorHAnsi"/>
            <w:color w:val="12B5E5"/>
            <w:u w:val="single"/>
          </w:rPr>
          <w:t>programului de asistenţă</w:t>
        </w:r>
      </w:hyperlink>
      <w:r w:rsidR="002F4233" w:rsidRPr="00EE5F41">
        <w:rPr>
          <w:rFonts w:eastAsia="Times New Roman" w:cstheme="minorHAnsi"/>
          <w:color w:val="515151"/>
        </w:rPr>
        <w:t xml:space="preserve"> </w:t>
      </w:r>
      <w:r w:rsidRPr="00EE5F41">
        <w:rPr>
          <w:rFonts w:eastAsia="Times New Roman" w:cstheme="minorHAnsi"/>
          <w:color w:val="515151"/>
        </w:rPr>
        <w:t>pus la dispoziţie de MFP.</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sumele rezultate din ajustarea taxei pe valoarea adăugată, Formularul 307</w:t>
      </w:r>
      <w:r w:rsidRPr="00EE5F41">
        <w:rPr>
          <w:rFonts w:eastAsia="Times New Roman" w:cstheme="minorHAnsi"/>
          <w:color w:val="515151"/>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EE5F41">
        <w:rPr>
          <w:rFonts w:eastAsia="Times New Roman" w:cstheme="minorHAnsi"/>
          <w:color w:val="515151"/>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recapitulativă privind livrările/achizițiile/prestările intracomunitare de bunuri pentru luna trecută, Formular 390 VIES</w:t>
      </w:r>
      <w:r w:rsidRPr="00EE5F41">
        <w:rPr>
          <w:rFonts w:eastAsia="Times New Roman" w:cstheme="minorHAnsi"/>
          <w:color w:val="515151"/>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Cererea de restituire a accizelor în cazul vânzărilor la distanţă, pe trimestrul precedent - Formular (anexa nr. 39)</w:t>
      </w:r>
      <w:r w:rsidRPr="00EE5F41">
        <w:rPr>
          <w:rFonts w:eastAsia="Times New Roman" w:cstheme="minorHAnsi"/>
          <w:color w:val="515151"/>
        </w:rPr>
        <w:t>. Se depune de către vânzători pentru livrările efectuate în cadrul vânzării la distanţă.</w:t>
      </w:r>
    </w:p>
    <w:p w:rsidR="00D77AAD" w:rsidRPr="00EE5F41" w:rsidRDefault="00D77AAD" w:rsidP="00D77AAD">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 xml:space="preserve">Taxele și impozitele ce trebuie plătite până pe 25 octombrie, </w:t>
      </w:r>
      <w:r w:rsidR="002F4233" w:rsidRPr="00EE5F41">
        <w:rPr>
          <w:rFonts w:asciiTheme="minorHAnsi" w:hAnsiTheme="minorHAnsi" w:cstheme="minorHAnsi"/>
          <w:bCs w:val="0"/>
          <w:color w:val="515151"/>
          <w:sz w:val="22"/>
          <w:szCs w:val="22"/>
        </w:rPr>
        <w:t>inclusiv</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color w:val="515151"/>
        </w:rPr>
        <w:t>Conform calendarului fiscal pus la dispoziția contribuabililor de ANAF, 25 octombrie</w:t>
      </w:r>
      <w:r w:rsidRPr="00D77AAD">
        <w:rPr>
          <w:rFonts w:eastAsia="Times New Roman" w:cstheme="minorHAnsi"/>
          <w:color w:val="515151"/>
        </w:rPr>
        <w:t xml:space="preserve"> va fi termenul-limită pentru următoarele taxe și impozite: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impozitului reținut la sursă în luna precedentă</w:t>
      </w:r>
      <w:r w:rsidRPr="00D77AAD">
        <w:rPr>
          <w:rFonts w:eastAsia="Times New Roman" w:cstheme="minorHAnsi"/>
          <w:color w:val="515151"/>
        </w:rPr>
        <w:t> - se plătește de către contribuabilii care obțin venituri din drepturi de proprietate intelectuală, din premii și jocuri de noroc, obținute de nerezidenți sau din alte surse;</w:t>
      </w:r>
    </w:p>
    <w:p w:rsidR="004C78B0" w:rsidRPr="00EE5F41" w:rsidRDefault="00D77AAD" w:rsidP="000D3025">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anticipată privind impozitul pe profit, aferentă trimestrul I</w:t>
      </w:r>
      <w:r w:rsidR="004C78B0" w:rsidRPr="00EE5F41">
        <w:rPr>
          <w:rFonts w:eastAsia="Times New Roman" w:cstheme="minorHAnsi"/>
          <w:b/>
          <w:bCs/>
          <w:color w:val="515151"/>
        </w:rPr>
        <w:t>I</w:t>
      </w:r>
      <w:r w:rsidRPr="00EE5F41">
        <w:rPr>
          <w:rFonts w:eastAsia="Times New Roman" w:cstheme="minorHAnsi"/>
          <w:b/>
          <w:bCs/>
          <w:color w:val="515151"/>
        </w:rPr>
        <w:t>I 2017</w:t>
      </w:r>
      <w:r w:rsidRPr="00D77AAD">
        <w:rPr>
          <w:rFonts w:eastAsia="Times New Roman" w:cstheme="minorHAnsi"/>
          <w:color w:val="515151"/>
        </w:rPr>
        <w:t> - se achită de către contribuabilii care aplică sistemul de declarare și plată a impozitului pe profit anual, cu plăți ant</w:t>
      </w:r>
      <w:r w:rsidR="004C78B0" w:rsidRPr="00EE5F41">
        <w:rPr>
          <w:rFonts w:eastAsia="Times New Roman" w:cstheme="minorHAnsi"/>
          <w:color w:val="515151"/>
        </w:rPr>
        <w:t>icipate efectuate trimestrial.</w:t>
      </w:r>
    </w:p>
    <w:p w:rsidR="00D77AAD" w:rsidRDefault="00D77AAD" w:rsidP="000D3025">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taxei anuale pentru autorizația de exploatare a jocurilor de noroc</w:t>
      </w:r>
      <w:r w:rsidRPr="00D77AAD">
        <w:rPr>
          <w:rFonts w:eastAsia="Times New Roman" w:cstheme="minorHAnsi"/>
          <w:color w:val="515151"/>
        </w:rPr>
        <w:t xml:space="preserve">(sumele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w:t>
      </w:r>
      <w:r w:rsidRPr="00D77AAD">
        <w:rPr>
          <w:rFonts w:eastAsia="Times New Roman" w:cstheme="minorHAnsi"/>
          <w:color w:val="515151"/>
        </w:rPr>
        <w:lastRenderedPageBreak/>
        <w:t>estimate. Încasările efective cumulate și taxa plătită de la începutul perioadei de autorizare până la finele lunii precedente celei pentru care se face regularizarea se va declara și plăti până la data de 25 a lunii următoare</w:t>
      </w:r>
      <w:proofErr w:type="gramStart"/>
      <w:r w:rsidRPr="00D77AAD">
        <w:rPr>
          <w:rFonts w:eastAsia="Times New Roman" w:cstheme="minorHAnsi"/>
          <w:color w:val="515151"/>
        </w:rPr>
        <w:t>).Se</w:t>
      </w:r>
      <w:proofErr w:type="gramEnd"/>
      <w:r w:rsidRPr="00D77AAD">
        <w:rPr>
          <w:rFonts w:eastAsia="Times New Roman" w:cstheme="minorHAnsi"/>
          <w:color w:val="515151"/>
        </w:rPr>
        <w:t xml:space="preserve"> plătește de către organizatorii de jocuri de tip pariu, jocuri de noroc, bingo organizate prin TV, pariuri on-line, jocuri bingo prin internet, sisteme de telefonie fixă sau mobilă, jocuri de noroc on-line;</w:t>
      </w:r>
    </w:p>
    <w:p w:rsidR="009918D6" w:rsidRPr="00D77AAD" w:rsidRDefault="009918D6" w:rsidP="000D3025">
      <w:pPr>
        <w:numPr>
          <w:ilvl w:val="0"/>
          <w:numId w:val="7"/>
        </w:numPr>
        <w:spacing w:before="100" w:beforeAutospacing="1" w:after="100" w:afterAutospacing="1" w:line="240" w:lineRule="auto"/>
        <w:ind w:left="0"/>
        <w:rPr>
          <w:rFonts w:eastAsia="Times New Roman" w:cstheme="minorHAnsi"/>
          <w:color w:val="515151"/>
        </w:rPr>
      </w:pPr>
      <w:r>
        <w:rPr>
          <w:rFonts w:eastAsia="Times New Roman" w:cstheme="minorHAnsi"/>
          <w:b/>
          <w:bCs/>
          <w:color w:val="515151"/>
        </w:rPr>
        <w:t>Plata anticipată a 50% din impozitul pe venitul din activitățile</w:t>
      </w:r>
      <w:bookmarkStart w:id="0" w:name="_GoBack"/>
      <w:bookmarkEnd w:id="0"/>
      <w:r>
        <w:rPr>
          <w:rFonts w:eastAsia="Times New Roman" w:cstheme="minorHAnsi"/>
          <w:b/>
          <w:bCs/>
          <w:color w:val="515151"/>
        </w:rPr>
        <w:t xml:space="preserve"> agricole, prima tranșă. </w:t>
      </w:r>
      <w:r>
        <w:rPr>
          <w:rFonts w:eastAsia="Times New Roman" w:cstheme="minorHAnsi"/>
          <w:bCs/>
          <w:color w:val="515151"/>
        </w:rPr>
        <w:t>Se achită de contribuabilii care obțin venituri din activități agricole stabilite prin norme de venit.</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cotei de contribuţii sociale pentru şomaj pentru luna precedentă</w:t>
      </w:r>
      <w:r w:rsidRPr="00D77AAD">
        <w:rPr>
          <w:rFonts w:eastAsia="Times New Roman" w:cstheme="minorHAnsi"/>
          <w:color w:val="515151"/>
        </w:rPr>
        <w:t>. Se depune de către asiguraţii care au încheiat opţional un contract de asigurare pentru şomaj cu Agenţia de ocupare a forţei de muncă judeţeană/a municipiului Bucureşti;</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Contribuția de asigurări sociale (pensii) către Casa Naţională de Pensii Publice (CNPP) pentru luna precedentă</w:t>
      </w:r>
      <w:r w:rsidRPr="00D77AAD">
        <w:rPr>
          <w:rFonts w:eastAsia="Times New Roman" w:cstheme="minorHAnsi"/>
          <w:color w:val="515151"/>
        </w:rPr>
        <w:t> - se plătește de către asigurații în sistemul public de pensii și alte drepturi de asigurări sociale care se regăsesc în una dintre situațiile menționate în Legea nr. 263/2010;</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Accize;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TVA;</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Impozite datorate bugetului de stat:</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țițeiul și gazele naturale din producția internă;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nerezidenților;</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salarii (OP separat pentru Sediu Social și fiecare sediu secundar, dacă este cazul);</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activități independente, cu regim de reținere la sursă;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dividende plătite în luna precedentă;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dobânzi;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alte venituri din investiții;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pensii;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premii și din jocuri de noroc;</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alte surse.</w:t>
      </w:r>
    </w:p>
    <w:p w:rsidR="00D77AAD" w:rsidRPr="00EE5F41" w:rsidRDefault="004C78B0" w:rsidP="002F4233">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30 octombrie, termen pentru formularul 394</w:t>
      </w:r>
    </w:p>
    <w:p w:rsidR="00EE5F41" w:rsidRPr="00EE5F41" w:rsidRDefault="00EE5F41" w:rsidP="004C78B0">
      <w:pPr>
        <w:spacing w:before="390" w:after="390" w:line="240" w:lineRule="auto"/>
        <w:rPr>
          <w:rFonts w:cstheme="minorHAnsi"/>
          <w:color w:val="515151"/>
          <w:shd w:val="clear" w:color="auto" w:fill="FFFFFF"/>
        </w:rPr>
      </w:pPr>
      <w:r w:rsidRPr="00EE5F41">
        <w:rPr>
          <w:rFonts w:cstheme="minorHAnsi"/>
          <w:color w:val="515151"/>
          <w:shd w:val="clear" w:color="auto" w:fill="FFFFFF"/>
        </w:rPr>
        <w:t>"Declaraţia informativă privind livrările/prestările și achizițiile efectuate pe teritoriul național aferente perioadei de raportare precedente" - </w:t>
      </w:r>
      <w:r w:rsidRPr="00EE5F41">
        <w:rPr>
          <w:rStyle w:val="Strong"/>
          <w:rFonts w:cstheme="minorHAnsi"/>
          <w:color w:val="515151"/>
          <w:shd w:val="clear" w:color="auto" w:fill="FFFFFF"/>
        </w:rPr>
        <w:t>formularul 394</w:t>
      </w:r>
      <w:r w:rsidRPr="00EE5F41">
        <w:rPr>
          <w:rFonts w:cstheme="minorHAnsi"/>
          <w:color w:val="515151"/>
          <w:shd w:val="clear" w:color="auto" w:fill="FFFFFF"/>
        </w:rPr>
        <w:t>, aferentă lunii </w:t>
      </w:r>
      <w:r w:rsidRPr="00EE5F41">
        <w:rPr>
          <w:rStyle w:val="Strong"/>
          <w:rFonts w:cstheme="minorHAnsi"/>
          <w:color w:val="515151"/>
          <w:shd w:val="clear" w:color="auto" w:fill="FFFFFF"/>
        </w:rPr>
        <w:t>septembrie</w:t>
      </w:r>
      <w:r w:rsidRPr="00EE5F41">
        <w:rPr>
          <w:rFonts w:cstheme="minorHAnsi"/>
          <w:color w:val="515151"/>
          <w:shd w:val="clear" w:color="auto" w:fill="FFFFFF"/>
        </w:rPr>
        <w:t>, trebuie depusă la organele fiscale competente până cel târziu pe 30 octombrie, în condițiile în care data obișnuită de raportare, respectiv ziua de 30 a lunii, va pica duminică, astfel că termenul se prelungește până în prima zi lucrătoare.</w:t>
      </w:r>
    </w:p>
    <w:p w:rsidR="004C78B0" w:rsidRPr="004C78B0" w:rsidRDefault="004C78B0" w:rsidP="004C78B0">
      <w:pPr>
        <w:spacing w:before="390" w:after="390" w:line="240" w:lineRule="auto"/>
        <w:rPr>
          <w:rFonts w:eastAsia="Times New Roman" w:cstheme="minorHAnsi"/>
          <w:color w:val="515151"/>
        </w:rPr>
      </w:pPr>
      <w:r w:rsidRPr="004C78B0">
        <w:rPr>
          <w:rFonts w:eastAsia="Times New Roman" w:cstheme="minorHAnsi"/>
          <w:color w:val="515151"/>
        </w:rPr>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EE5F41" w:rsidRPr="00EE5F41">
        <w:rPr>
          <w:rFonts w:eastAsia="Times New Roman" w:cstheme="minorHAnsi"/>
          <w:color w:val="515151"/>
        </w:rPr>
        <w:t>septembrie</w:t>
      </w:r>
      <w:r w:rsidRPr="004C78B0">
        <w:rPr>
          <w:rFonts w:eastAsia="Times New Roman" w:cstheme="minorHAnsi"/>
          <w:color w:val="515151"/>
        </w:rPr>
        <w:t xml:space="preserve"> nu au fost realizate operaţiuni de natura celor care fac obiectul declaraţiei. Obligaţia transmiterii formularului revine:</w:t>
      </w:r>
    </w:p>
    <w:p w:rsidR="004C78B0" w:rsidRPr="004C78B0"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 xml:space="preserve">persoanelor impozabile înregistrate în scopuri de TVA în România, conform art. 316 din Codul fiscal, obligate la plata taxei conform art. 307 alin. (1), (2), (6) și (7) din Codul fiscal, pentru operațiuni impozabile în România conform art. 268 </w:t>
      </w:r>
      <w:proofErr w:type="gramStart"/>
      <w:r w:rsidRPr="004C78B0">
        <w:rPr>
          <w:rFonts w:eastAsia="Times New Roman" w:cstheme="minorHAnsi"/>
          <w:color w:val="515151"/>
        </w:rPr>
        <w:t>alin.(</w:t>
      </w:r>
      <w:proofErr w:type="gramEnd"/>
      <w:r w:rsidRPr="004C78B0">
        <w:rPr>
          <w:rFonts w:eastAsia="Times New Roman" w:cstheme="minorHAnsi"/>
          <w:color w:val="515151"/>
        </w:rPr>
        <w:t>1) din Codul fiscal;</w:t>
      </w:r>
    </w:p>
    <w:p w:rsidR="00D77AAD" w:rsidRPr="00EE5F41"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lastRenderedPageBreak/>
        <w:t>persoanelor impozabile înregistrate în scopuri de TVA în România, conform art. 316 din Codul fiscal, care realizează în România, de la persoanele impozabile înregistrate în scopuri de TVA în România, achiziții</w:t>
      </w:r>
      <w:r w:rsidRPr="00EE5F41">
        <w:rPr>
          <w:rFonts w:eastAsia="Times New Roman" w:cstheme="minorHAnsi"/>
          <w:color w:val="515151"/>
        </w:rPr>
        <w:t xml:space="preserve"> de bunuri sau servicii taxabile.</w:t>
      </w:r>
    </w:p>
    <w:sectPr w:rsidR="00D77AAD" w:rsidRPr="00EE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2A"/>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337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25258"/>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143E0"/>
    <w:multiLevelType w:val="multilevel"/>
    <w:tmpl w:val="528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71332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7F"/>
    <w:rsid w:val="002F4233"/>
    <w:rsid w:val="004C78B0"/>
    <w:rsid w:val="005F2B7F"/>
    <w:rsid w:val="008D361E"/>
    <w:rsid w:val="0099143B"/>
    <w:rsid w:val="009918D6"/>
    <w:rsid w:val="00A0242A"/>
    <w:rsid w:val="00D77AAD"/>
    <w:rsid w:val="00E91562"/>
    <w:rsid w:val="00E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8B1F"/>
  <w15:chartTrackingRefBased/>
  <w15:docId w15:val="{A2A2BE97-954D-4934-933F-4A1C05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7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AAD"/>
    <w:rPr>
      <w:b/>
      <w:bCs/>
    </w:rPr>
  </w:style>
  <w:style w:type="paragraph" w:styleId="ListParagraph">
    <w:name w:val="List Paragraph"/>
    <w:basedOn w:val="Normal"/>
    <w:uiPriority w:val="34"/>
    <w:qFormat/>
    <w:rsid w:val="00D77AAD"/>
    <w:pPr>
      <w:ind w:left="720"/>
      <w:contextualSpacing/>
    </w:pPr>
  </w:style>
  <w:style w:type="character" w:customStyle="1" w:styleId="Heading2Char">
    <w:name w:val="Heading 2 Char"/>
    <w:basedOn w:val="DefaultParagraphFont"/>
    <w:link w:val="Heading2"/>
    <w:uiPriority w:val="9"/>
    <w:rsid w:val="00D77A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7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3850">
      <w:bodyDiv w:val="1"/>
      <w:marLeft w:val="0"/>
      <w:marRight w:val="0"/>
      <w:marTop w:val="0"/>
      <w:marBottom w:val="0"/>
      <w:divBdr>
        <w:top w:val="none" w:sz="0" w:space="0" w:color="auto"/>
        <w:left w:val="none" w:sz="0" w:space="0" w:color="auto"/>
        <w:bottom w:val="none" w:sz="0" w:space="0" w:color="auto"/>
        <w:right w:val="none" w:sz="0" w:space="0" w:color="auto"/>
      </w:divBdr>
    </w:div>
    <w:div w:id="1020669969">
      <w:bodyDiv w:val="1"/>
      <w:marLeft w:val="0"/>
      <w:marRight w:val="0"/>
      <w:marTop w:val="0"/>
      <w:marBottom w:val="0"/>
      <w:divBdr>
        <w:top w:val="none" w:sz="0" w:space="0" w:color="auto"/>
        <w:left w:val="none" w:sz="0" w:space="0" w:color="auto"/>
        <w:bottom w:val="none" w:sz="0" w:space="0" w:color="auto"/>
        <w:right w:val="none" w:sz="0" w:space="0" w:color="auto"/>
      </w:divBdr>
    </w:div>
    <w:div w:id="1189561332">
      <w:bodyDiv w:val="1"/>
      <w:marLeft w:val="0"/>
      <w:marRight w:val="0"/>
      <w:marTop w:val="0"/>
      <w:marBottom w:val="0"/>
      <w:divBdr>
        <w:top w:val="none" w:sz="0" w:space="0" w:color="auto"/>
        <w:left w:val="none" w:sz="0" w:space="0" w:color="auto"/>
        <w:bottom w:val="none" w:sz="0" w:space="0" w:color="auto"/>
        <w:right w:val="none" w:sz="0" w:space="0" w:color="auto"/>
      </w:divBdr>
    </w:div>
    <w:div w:id="1268004057">
      <w:bodyDiv w:val="1"/>
      <w:marLeft w:val="0"/>
      <w:marRight w:val="0"/>
      <w:marTop w:val="0"/>
      <w:marBottom w:val="0"/>
      <w:divBdr>
        <w:top w:val="none" w:sz="0" w:space="0" w:color="auto"/>
        <w:left w:val="none" w:sz="0" w:space="0" w:color="auto"/>
        <w:bottom w:val="none" w:sz="0" w:space="0" w:color="auto"/>
        <w:right w:val="none" w:sz="0" w:space="0" w:color="auto"/>
      </w:divBdr>
    </w:div>
    <w:div w:id="1392192607">
      <w:bodyDiv w:val="1"/>
      <w:marLeft w:val="0"/>
      <w:marRight w:val="0"/>
      <w:marTop w:val="0"/>
      <w:marBottom w:val="0"/>
      <w:divBdr>
        <w:top w:val="none" w:sz="0" w:space="0" w:color="auto"/>
        <w:left w:val="none" w:sz="0" w:space="0" w:color="auto"/>
        <w:bottom w:val="none" w:sz="0" w:space="0" w:color="auto"/>
        <w:right w:val="none" w:sz="0" w:space="0" w:color="auto"/>
      </w:divBdr>
    </w:div>
    <w:div w:id="1427580963">
      <w:bodyDiv w:val="1"/>
      <w:marLeft w:val="0"/>
      <w:marRight w:val="0"/>
      <w:marTop w:val="0"/>
      <w:marBottom w:val="0"/>
      <w:divBdr>
        <w:top w:val="none" w:sz="0" w:space="0" w:color="auto"/>
        <w:left w:val="none" w:sz="0" w:space="0" w:color="auto"/>
        <w:bottom w:val="none" w:sz="0" w:space="0" w:color="auto"/>
        <w:right w:val="none" w:sz="0" w:space="0" w:color="auto"/>
      </w:divBdr>
    </w:div>
    <w:div w:id="1628009554">
      <w:bodyDiv w:val="1"/>
      <w:marLeft w:val="0"/>
      <w:marRight w:val="0"/>
      <w:marTop w:val="0"/>
      <w:marBottom w:val="0"/>
      <w:divBdr>
        <w:top w:val="none" w:sz="0" w:space="0" w:color="auto"/>
        <w:left w:val="none" w:sz="0" w:space="0" w:color="auto"/>
        <w:bottom w:val="none" w:sz="0" w:space="0" w:color="auto"/>
        <w:right w:val="none" w:sz="0" w:space="0" w:color="auto"/>
      </w:divBdr>
    </w:div>
    <w:div w:id="1792936643">
      <w:bodyDiv w:val="1"/>
      <w:marLeft w:val="0"/>
      <w:marRight w:val="0"/>
      <w:marTop w:val="0"/>
      <w:marBottom w:val="0"/>
      <w:divBdr>
        <w:top w:val="none" w:sz="0" w:space="0" w:color="auto"/>
        <w:left w:val="none" w:sz="0" w:space="0" w:color="auto"/>
        <w:bottom w:val="none" w:sz="0" w:space="0" w:color="auto"/>
        <w:right w:val="none" w:sz="0" w:space="0" w:color="auto"/>
      </w:divBdr>
    </w:div>
    <w:div w:id="1808891245">
      <w:bodyDiv w:val="1"/>
      <w:marLeft w:val="0"/>
      <w:marRight w:val="0"/>
      <w:marTop w:val="0"/>
      <w:marBottom w:val="0"/>
      <w:divBdr>
        <w:top w:val="none" w:sz="0" w:space="0" w:color="auto"/>
        <w:left w:val="none" w:sz="0" w:space="0" w:color="auto"/>
        <w:bottom w:val="none" w:sz="0" w:space="0" w:color="auto"/>
        <w:right w:val="none" w:sz="0" w:space="0" w:color="auto"/>
      </w:divBdr>
    </w:div>
    <w:div w:id="1826358925">
      <w:bodyDiv w:val="1"/>
      <w:marLeft w:val="0"/>
      <w:marRight w:val="0"/>
      <w:marTop w:val="0"/>
      <w:marBottom w:val="0"/>
      <w:divBdr>
        <w:top w:val="none" w:sz="0" w:space="0" w:color="auto"/>
        <w:left w:val="none" w:sz="0" w:space="0" w:color="auto"/>
        <w:bottom w:val="none" w:sz="0" w:space="0" w:color="auto"/>
        <w:right w:val="none" w:sz="0" w:space="0" w:color="auto"/>
      </w:divBdr>
    </w:div>
    <w:div w:id="1829638025">
      <w:bodyDiv w:val="1"/>
      <w:marLeft w:val="0"/>
      <w:marRight w:val="0"/>
      <w:marTop w:val="0"/>
      <w:marBottom w:val="0"/>
      <w:divBdr>
        <w:top w:val="none" w:sz="0" w:space="0" w:color="auto"/>
        <w:left w:val="none" w:sz="0" w:space="0" w:color="auto"/>
        <w:bottom w:val="none" w:sz="0" w:space="0" w:color="auto"/>
        <w:right w:val="none" w:sz="0" w:space="0" w:color="auto"/>
      </w:divBdr>
    </w:div>
    <w:div w:id="2007005446">
      <w:bodyDiv w:val="1"/>
      <w:marLeft w:val="0"/>
      <w:marRight w:val="0"/>
      <w:marTop w:val="0"/>
      <w:marBottom w:val="0"/>
      <w:divBdr>
        <w:top w:val="none" w:sz="0" w:space="0" w:color="auto"/>
        <w:left w:val="none" w:sz="0" w:space="0" w:color="auto"/>
        <w:bottom w:val="none" w:sz="0" w:space="0" w:color="auto"/>
        <w:right w:val="none" w:sz="0" w:space="0" w:color="auto"/>
      </w:divBdr>
    </w:div>
    <w:div w:id="2020616836">
      <w:bodyDiv w:val="1"/>
      <w:marLeft w:val="0"/>
      <w:marRight w:val="0"/>
      <w:marTop w:val="0"/>
      <w:marBottom w:val="0"/>
      <w:divBdr>
        <w:top w:val="none" w:sz="0" w:space="0" w:color="auto"/>
        <w:left w:val="none" w:sz="0" w:space="0" w:color="auto"/>
        <w:bottom w:val="none" w:sz="0" w:space="0" w:color="auto"/>
        <w:right w:val="none" w:sz="0" w:space="0" w:color="auto"/>
      </w:divBdr>
    </w:div>
    <w:div w:id="2061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5" Type="http://schemas.openxmlformats.org/officeDocument/2006/relationships/hyperlink" Target="http://static.anaf.ro/static/10/Anaf/Declaratii_R/3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2017-10-03T13:11:00Z</dcterms:created>
  <dcterms:modified xsi:type="dcterms:W3CDTF">2017-10-03T14:32:00Z</dcterms:modified>
</cp:coreProperties>
</file>