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 xml:space="preserve">AGENDA FISCALĂ A LUNII </w:t>
      </w:r>
      <w:r w:rsidR="0061169C">
        <w:rPr>
          <w:b/>
          <w:sz w:val="40"/>
          <w:szCs w:val="40"/>
        </w:rPr>
        <w:t>SEPTEMBRIE</w:t>
      </w:r>
      <w:r w:rsidRPr="00B564A3">
        <w:rPr>
          <w:b/>
          <w:sz w:val="40"/>
          <w:szCs w:val="40"/>
        </w:rPr>
        <w:t xml:space="preserve"> 2018</w:t>
      </w:r>
    </w:p>
    <w:p w:rsidR="006E7C9F" w:rsidRDefault="00B564A3" w:rsidP="006E7C9F">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p w:rsidR="006817E9" w:rsidRDefault="006817E9"/>
    <w:tbl>
      <w:tblPr>
        <w:tblW w:w="1091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2"/>
        <w:gridCol w:w="4677"/>
        <w:gridCol w:w="4111"/>
      </w:tblGrid>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shd w:val="clear" w:color="auto" w:fill="666666"/>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FFFFFF"/>
              </w:rPr>
            </w:pPr>
            <w:r>
              <w:rPr>
                <w:rFonts w:ascii="Segoe UI" w:hAnsi="Segoe UI" w:cs="Segoe UI"/>
                <w:b/>
                <w:bCs/>
                <w:color w:val="FFFFFF"/>
              </w:rPr>
              <w:t>TERMENUL</w:t>
            </w:r>
          </w:p>
        </w:tc>
        <w:tc>
          <w:tcPr>
            <w:tcW w:w="4647" w:type="dxa"/>
            <w:tcBorders>
              <w:top w:val="outset" w:sz="6" w:space="0" w:color="auto"/>
              <w:left w:val="outset" w:sz="6" w:space="0" w:color="auto"/>
              <w:bottom w:val="outset" w:sz="6" w:space="0" w:color="auto"/>
              <w:right w:val="outset" w:sz="6" w:space="0" w:color="auto"/>
            </w:tcBorders>
            <w:shd w:val="clear" w:color="auto" w:fill="666666"/>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FFFFFF"/>
              </w:rPr>
            </w:pPr>
            <w:r>
              <w:rPr>
                <w:rFonts w:ascii="Segoe UI" w:hAnsi="Segoe UI" w:cs="Segoe UI"/>
                <w:b/>
                <w:bCs/>
                <w:color w:val="FFFFFF"/>
              </w:rPr>
              <w:t>OBLIGAȚIA</w:t>
            </w:r>
          </w:p>
        </w:tc>
        <w:tc>
          <w:tcPr>
            <w:tcW w:w="4066" w:type="dxa"/>
            <w:tcBorders>
              <w:top w:val="outset" w:sz="6" w:space="0" w:color="auto"/>
              <w:left w:val="outset" w:sz="6" w:space="0" w:color="auto"/>
              <w:bottom w:val="outset" w:sz="6" w:space="0" w:color="auto"/>
              <w:right w:val="outset" w:sz="6" w:space="0" w:color="auto"/>
            </w:tcBorders>
            <w:shd w:val="clear" w:color="auto" w:fill="666666"/>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FFFFFF"/>
              </w:rPr>
            </w:pPr>
            <w:r>
              <w:rPr>
                <w:rFonts w:ascii="Segoe UI" w:hAnsi="Segoe UI" w:cs="Segoe UI"/>
                <w:b/>
                <w:bCs/>
                <w:color w:val="FFFFFF"/>
              </w:rPr>
              <w:t>CINE TREBUIE S-O REZOLVE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rPr>
            </w:pPr>
            <w:r>
              <w:rPr>
                <w:rFonts w:ascii="Segoe UI" w:hAnsi="Segoe UI" w:cs="Segoe UI"/>
                <w:b/>
                <w:bCs/>
                <w:color w:val="009933"/>
              </w:rPr>
              <w:t>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6" w:history="1">
              <w:r w:rsidRPr="0061169C">
                <w:rPr>
                  <w:rStyle w:val="Hyperlink"/>
                  <w:rFonts w:ascii="Segoe UI" w:hAnsi="Segoe UI" w:cs="Segoe UI"/>
                  <w:b/>
                </w:rPr>
                <w:t>Formularul 092</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10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7" w:history="1">
              <w:r w:rsidRPr="0061169C">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8"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- 020 Declarație de înregistrare fiscală/Declarație de mențiuni pentru persoane fizice române și străine care dețin cod numeric personal - </w:t>
            </w:r>
            <w:hyperlink r:id="rId9" w:history="1">
              <w:r w:rsidRPr="0061169C">
                <w:rPr>
                  <w:rStyle w:val="Hyperlink"/>
                  <w:rFonts w:ascii="Segoe UI" w:hAnsi="Segoe UI" w:cs="Segoe UI"/>
                  <w:b/>
                </w:rPr>
                <w:t>Formularul 020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0"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- 070 Declarație de înregistrare fiscală/Declarație de mențiuni/Declarație de radiere pentru persoanele fizice care desfășoară activități economice în mod independent sau exercită profesii libere - </w:t>
            </w:r>
            <w:hyperlink r:id="rId11" w:history="1">
              <w:r w:rsidRPr="0061169C">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xml:space="preserve">- 700 Declarație pentru înregistrarea/modificarea categoriilor de </w:t>
            </w:r>
            <w:r>
              <w:rPr>
                <w:rFonts w:ascii="Segoe UI" w:hAnsi="Segoe UI" w:cs="Segoe UI"/>
                <w:color w:val="000000"/>
              </w:rPr>
              <w:lastRenderedPageBreak/>
              <w:t>obligații fiscale declarative înscrise în vectorul fiscal - </w:t>
            </w:r>
            <w:hyperlink r:id="rId12" w:history="1">
              <w:r>
                <w:rPr>
                  <w:rStyle w:val="Hyperlink"/>
                  <w:rFonts w:ascii="Segoe UI" w:hAnsi="Segoe UI" w:cs="Segoe UI"/>
                </w:rPr>
                <w:t>Formularul electronic 700</w:t>
              </w:r>
            </w:hyperlink>
            <w:r>
              <w:rPr>
                <w:rFonts w:ascii="Segoe UI" w:hAnsi="Segoe UI" w:cs="Segoe UI"/>
                <w:color w:val="000000"/>
              </w:rPr>
              <w:t>, după caz.</w:t>
            </w:r>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lastRenderedPageBreak/>
              <w:t>Persoanele impozabile, înregistrate în scopuri de TVA conform art. 316 din Legea 227/2015, care nu au depășit plafonul de scutire și care doresc să fie scoase din evidența persoanelor înregistrate în scopuri de TVA.</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10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 xml:space="preserve">Depunerea formularului Notificare privind aplicarea/încetarea aplicării regimului special pentru agricultori </w:t>
            </w:r>
            <w:r w:rsidRPr="0061169C">
              <w:rPr>
                <w:rFonts w:ascii="Segoe UI" w:hAnsi="Segoe UI" w:cs="Segoe UI"/>
                <w:b/>
                <w:color w:val="000000"/>
              </w:rPr>
              <w:t>- </w:t>
            </w:r>
            <w:hyperlink r:id="rId13" w:history="1">
              <w:r w:rsidRPr="0061169C">
                <w:rPr>
                  <w:rStyle w:val="Hyperlink"/>
                  <w:rFonts w:ascii="Segoe UI" w:hAnsi="Segoe UI" w:cs="Segoe UI"/>
                  <w:b/>
                </w:rPr>
                <w:t>Formularul 087</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optează pentru aplicarea regimului special pentru agricultori.</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4" w:history="1">
              <w:r>
                <w:rPr>
                  <w:rStyle w:val="Hyperlink"/>
                  <w:rFonts w:ascii="Segoe UI" w:hAnsi="Segoe UI" w:cs="Segoe UI"/>
                </w:rPr>
                <w:t>Anexa nr.4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5" w:history="1">
              <w:r>
                <w:rPr>
                  <w:rStyle w:val="Hyperlink"/>
                  <w:rFonts w:ascii="Segoe UI" w:hAnsi="Segoe UI" w:cs="Segoe UI"/>
                </w:rPr>
                <w:t>Anexa nr.3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16" w:history="1">
              <w:r>
                <w:rPr>
                  <w:rStyle w:val="Hyperlink"/>
                  <w:rFonts w:ascii="Segoe UI" w:hAnsi="Segoe UI" w:cs="Segoe UI"/>
                </w:rPr>
                <w:t>Anexa nr.26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pentru luna precedentă - </w:t>
            </w:r>
            <w:hyperlink r:id="rId17" w:history="1">
              <w:r>
                <w:rPr>
                  <w:rStyle w:val="Hyperlink"/>
                  <w:rFonts w:ascii="Segoe UI" w:hAnsi="Segoe UI" w:cs="Segoe UI"/>
                </w:rPr>
                <w:t>Anexa nr.26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Operatorii economici care dețin autorizație de utilizator final (alcoolul etilic și a produse alcoolice)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18" w:history="1">
              <w:r>
                <w:rPr>
                  <w:rStyle w:val="Hyperlink"/>
                  <w:rFonts w:ascii="Segoe UI" w:hAnsi="Segoe UI" w:cs="Segoe UI"/>
                </w:rPr>
                <w:t>Anexa nr.19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alcool și băuturi spirtoase pentru luna precedentă - </w:t>
            </w:r>
            <w:hyperlink r:id="rId19" w:history="1">
              <w:r>
                <w:rPr>
                  <w:rStyle w:val="Hyperlink"/>
                  <w:rFonts w:ascii="Segoe UI" w:hAnsi="Segoe UI" w:cs="Segoe UI"/>
                </w:rPr>
                <w:t>Anexa nr.12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vinuri/bauturi fermentate/produse intermediare pentru luna precedentă - </w:t>
            </w:r>
            <w:hyperlink r:id="rId20" w:history="1">
              <w:r>
                <w:rPr>
                  <w:rStyle w:val="Hyperlink"/>
                  <w:rFonts w:ascii="Segoe UI" w:hAnsi="Segoe UI" w:cs="Segoe UI"/>
                </w:rPr>
                <w:t>Anexa nr.13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1" w:history="1">
              <w:r>
                <w:rPr>
                  <w:rStyle w:val="Hyperlink"/>
                  <w:rFonts w:ascii="Segoe UI" w:hAnsi="Segoe UI" w:cs="Segoe UI"/>
                </w:rPr>
                <w:t>Anexa nr.14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2" w:history="1">
              <w:r>
                <w:rPr>
                  <w:rStyle w:val="Hyperlink"/>
                  <w:rFonts w:ascii="Segoe UI" w:hAnsi="Segoe UI" w:cs="Segoe UI"/>
                </w:rPr>
                <w:t>Anexa nr.15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3" w:history="1">
              <w:r>
                <w:rPr>
                  <w:rStyle w:val="Hyperlink"/>
                  <w:rFonts w:ascii="Segoe UI" w:hAnsi="Segoe UI" w:cs="Segoe UI"/>
                </w:rPr>
                <w:t>Anexa nr.16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depozitare pentru luna precedentă - </w:t>
            </w:r>
            <w:hyperlink r:id="rId24" w:history="1">
              <w:r>
                <w:rPr>
                  <w:rStyle w:val="Hyperlink"/>
                  <w:rFonts w:ascii="Segoe UI" w:hAnsi="Segoe UI" w:cs="Segoe UI"/>
                </w:rPr>
                <w:t>Anexa nr.17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pentru depozitare produse accizabile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jurnalelor pentru luna precedentă privind livrările de combustibil destinat utilizării exclusiv pentru aviație - </w:t>
            </w:r>
            <w:hyperlink r:id="rId25"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26" w:history="1">
              <w:r>
                <w:rPr>
                  <w:rStyle w:val="Hyperlink"/>
                  <w:rFonts w:ascii="Segoe UI" w:hAnsi="Segoe UI" w:cs="Segoe UI"/>
                </w:rPr>
                <w:t>Anexa nr.31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pentru producție/ depozitare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jurnalelor pentru luna precedentă privind achizițiile/livrările de combustibil destinat utilizării exclusiv pentru aviație - </w:t>
            </w:r>
            <w:hyperlink r:id="rId27"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28" w:history="1">
              <w:r>
                <w:rPr>
                  <w:rStyle w:val="Hyperlink"/>
                  <w:rFonts w:ascii="Segoe UI" w:hAnsi="Segoe UI" w:cs="Segoe UI"/>
                </w:rPr>
                <w:t>Anexa nr.32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pentru depozitare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Situației centralizatoare privind livrările de produse accizabile în luna ... anul ..., pentru luna precedentă - </w:t>
            </w:r>
            <w:hyperlink r:id="rId29" w:history="1">
              <w:r>
                <w:rPr>
                  <w:rStyle w:val="Hyperlink"/>
                  <w:rFonts w:ascii="Segoe UI" w:hAnsi="Segoe UI" w:cs="Segoe UI"/>
                </w:rPr>
                <w:t>Anexa nr.21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Operatorii economici care dețin autorizații de expeditor înregistrat</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17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0" w:history="1">
              <w:r>
                <w:rPr>
                  <w:rStyle w:val="Hyperlink"/>
                  <w:rFonts w:ascii="Segoe UI" w:hAnsi="Segoe UI" w:cs="Segoe UI"/>
                </w:rPr>
                <w:t>Anexa nr.42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Antrepozitarii autorizați, destinatarii înregistrați și importatorii autorizați de produse supuse marcării</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Plata impozitului reținut la sursă în luna precedentă</w:t>
            </w:r>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Plătitorii următoarelor venituri:</w:t>
            </w:r>
            <w:r>
              <w:rPr>
                <w:rFonts w:ascii="Segoe UI" w:hAnsi="Segoe UI" w:cs="Segoe UI"/>
                <w:color w:val="000000"/>
              </w:rPr>
              <w:br/>
              <w:t>- din drepturi de proprietate intelectuală;</w:t>
            </w:r>
            <w:r>
              <w:rPr>
                <w:rFonts w:ascii="Segoe UI" w:hAnsi="Segoe UI" w:cs="Segoe UI"/>
                <w:color w:val="000000"/>
              </w:rPr>
              <w:br/>
              <w:t>- din premii și jocuri de noroc;</w:t>
            </w:r>
            <w:r>
              <w:rPr>
                <w:rFonts w:ascii="Segoe UI" w:hAnsi="Segoe UI" w:cs="Segoe UI"/>
                <w:color w:val="000000"/>
              </w:rPr>
              <w:br/>
              <w:t>- obținute de nerezidenți;</w:t>
            </w:r>
            <w:r>
              <w:rPr>
                <w:rFonts w:ascii="Segoe UI" w:hAnsi="Segoe UI" w:cs="Segoe UI"/>
                <w:color w:val="000000"/>
              </w:rPr>
              <w:br/>
              <w:t>- din alte surse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Plata taxei anuale pentru autorizația de exploatare a jocurilor de noroc, aferentă trimestrului următor</w:t>
            </w:r>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Organizatorii de jocuri de noroc caracteristice activității cazinourilor și jocurile tip slot-machine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 </w:t>
            </w:r>
            <w:hyperlink r:id="rId31" w:history="1">
              <w:r w:rsidRPr="0061169C">
                <w:rPr>
                  <w:rStyle w:val="Hyperlink"/>
                  <w:rFonts w:ascii="Segoe UI" w:hAnsi="Segoe UI" w:cs="Segoe UI"/>
                  <w:b/>
                </w:rPr>
                <w:t>Formularul 100</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drepturi de proprietate intelectuală, impozit pe veniturile din arendarea bunurilor agricole,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w:t>
            </w:r>
            <w:proofErr w:type="gramStart"/>
            <w:r>
              <w:rPr>
                <w:rFonts w:ascii="Segoe UI" w:hAnsi="Segoe UI" w:cs="Segoe UI"/>
                <w:color w:val="000000"/>
              </w:rPr>
              <w:t>1.1.</w:t>
            </w:r>
            <w:r>
              <w:rPr>
                <w:rFonts w:ascii="Segoe UI" w:hAnsi="Segoe UI" w:cs="Segoe UI"/>
                <w:color w:val="000000"/>
              </w:rPr>
              <w:br/>
            </w:r>
            <w:r>
              <w:rPr>
                <w:rStyle w:val="Strong"/>
                <w:rFonts w:ascii="Segoe UI" w:hAnsi="Segoe UI" w:cs="Segoe UI"/>
                <w:color w:val="000000"/>
              </w:rPr>
              <w:t>- alte termene</w:t>
            </w:r>
            <w:r>
              <w:rPr>
                <w:rFonts w:ascii="Segoe UI" w:hAnsi="Segoe UI" w:cs="Segoe UI"/>
                <w:color w:val="000000"/>
              </w:rPr>
              <w:t> - contribuabilii care au următoarele obligații de plată la bugetul de stat:</w:t>
            </w:r>
            <w:r>
              <w:rPr>
                <w:rFonts w:ascii="Segoe UI" w:hAnsi="Segoe UI" w:cs="Segoe UI"/>
                <w:color w:val="000000"/>
              </w:rPr>
              <w:br/>
              <w:t>- pentru plățile anticipate aferente trimestrului IV, în cazul contribuabililor care declară și plătesc impozit pe profit anual;</w:t>
            </w:r>
            <w:r>
              <w:rPr>
                <w:rFonts w:ascii="Segoe UI" w:hAnsi="Segoe UI" w:cs="Segoe UI"/>
                <w:color w:val="000000"/>
              </w:rPr>
              <w:br/>
              <w:t>- în cazul impozitului pe profit datorat de contribuabilii care au optat pentru anul fiscal diferit de anul calendaristic;</w:t>
            </w:r>
            <w:r>
              <w:rPr>
                <w:rFonts w:ascii="Segoe UI" w:hAnsi="Segoe UI" w:cs="Segoe UI"/>
                <w:color w:val="000000"/>
              </w:rPr>
              <w:br/>
              <w:t>- alte obligații de plată prevăzute în OPANAF 587/2016 la anexa 4, cap.</w:t>
            </w:r>
            <w:proofErr w:type="gramEnd"/>
            <w:r>
              <w:rPr>
                <w:rFonts w:ascii="Segoe UI" w:hAnsi="Segoe UI" w:cs="Segoe UI"/>
                <w:color w:val="000000"/>
              </w:rPr>
              <w:t xml:space="preserve"> I, pct. 1, subpct. 1.3.</w:t>
            </w:r>
            <w:r>
              <w:rPr>
                <w:rFonts w:ascii="Segoe UI" w:hAnsi="Segoe UI" w:cs="Segoe UI"/>
                <w:color w:val="000000"/>
              </w:rPr>
              <w:br/>
              <w:t>(vezi instrucțiunile de completare din formular)</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b/>
                <w:color w:val="000000"/>
              </w:rPr>
            </w:pPr>
            <w:r>
              <w:rPr>
                <w:rFonts w:ascii="Segoe UI" w:hAnsi="Segoe UI" w:cs="Segoe UI"/>
                <w:color w:val="000000"/>
              </w:rPr>
              <w:t xml:space="preserve">Depunerea Declarației privind obligațiile de plată a contribuțiilor sociale, impozitului pe venit și evidența nominală a persoanelor </w:t>
            </w:r>
            <w:r>
              <w:rPr>
                <w:rFonts w:ascii="Segoe UI" w:hAnsi="Segoe UI" w:cs="Segoe UI"/>
                <w:color w:val="000000"/>
              </w:rPr>
              <w:lastRenderedPageBreak/>
              <w:t>asigurate pentru luna precedentă - </w:t>
            </w:r>
            <w:hyperlink r:id="rId32" w:history="1">
              <w:r w:rsidRPr="0061169C">
                <w:rPr>
                  <w:rStyle w:val="Hyperlink"/>
                  <w:rFonts w:ascii="Segoe UI" w:hAnsi="Segoe UI" w:cs="Segoe UI"/>
                  <w:b/>
                </w:rPr>
                <w:t>Formularul 112</w:t>
              </w:r>
            </w:hyperlink>
          </w:p>
          <w:p w:rsidR="0061169C" w:rsidRDefault="0061169C">
            <w:pPr>
              <w:spacing w:line="252" w:lineRule="atLeast"/>
              <w:rPr>
                <w:rFonts w:ascii="Segoe UI" w:hAnsi="Segoe UI" w:cs="Segoe UI"/>
                <w:b/>
                <w:color w:val="000000"/>
              </w:rPr>
            </w:pPr>
          </w:p>
          <w:p w:rsidR="0061169C" w:rsidRDefault="0061169C">
            <w:pPr>
              <w:spacing w:line="252" w:lineRule="atLeast"/>
              <w:rPr>
                <w:rFonts w:ascii="Segoe UI" w:hAnsi="Segoe UI" w:cs="Segoe UI"/>
                <w:color w:val="000000"/>
              </w:rPr>
            </w:pPr>
            <w:r>
              <w:rPr>
                <w:rFonts w:ascii="Segoe UI" w:hAnsi="Segoe UI" w:cs="Segoe UI"/>
                <w:b/>
                <w:color w:val="000000"/>
              </w:rPr>
              <w:t>Plata taxelor salariale pentru luna precedentă.</w:t>
            </w:r>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lastRenderedPageBreak/>
              <w:t xml:space="preserve">Persoanele fizice și juridice care au calitatea de angajatori sau sunt asimilate acestora, </w:t>
            </w:r>
            <w:proofErr w:type="gramStart"/>
            <w:r>
              <w:rPr>
                <w:rFonts w:ascii="Segoe UI" w:hAnsi="Segoe UI" w:cs="Segoe UI"/>
                <w:color w:val="000000"/>
              </w:rPr>
              <w:t xml:space="preserve">instituțiile prevăzute </w:t>
            </w:r>
            <w:r>
              <w:rPr>
                <w:rFonts w:ascii="Segoe UI" w:hAnsi="Segoe UI" w:cs="Segoe UI"/>
                <w:color w:val="000000"/>
              </w:rPr>
              <w:lastRenderedPageBreak/>
              <w:t>la art</w:t>
            </w:r>
            <w:proofErr w:type="gramEnd"/>
            <w:r>
              <w:rPr>
                <w:rFonts w:ascii="Segoe UI" w:hAnsi="Segoe UI" w:cs="Segoe UI"/>
                <w:color w:val="000000"/>
              </w:rPr>
              <w: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Declarației privind veniturile sub formă de salarii și asimilate salariilor din străinătate obținute de către persoanele fizice care desfășoară activitate în România pentru luna precedentă - </w:t>
            </w:r>
            <w:hyperlink r:id="rId33" w:history="1">
              <w:r w:rsidRPr="0061169C">
                <w:rPr>
                  <w:rStyle w:val="Hyperlink"/>
                  <w:rFonts w:ascii="Segoe UI" w:hAnsi="Segoe UI" w:cs="Segoe UI"/>
                  <w:b/>
                </w:rPr>
                <w:t>Formularul 224</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proofErr w:type="gramStart"/>
            <w:r>
              <w:rPr>
                <w:rFonts w:ascii="Segoe UI" w:hAnsi="Segoe UI" w:cs="Segoe UI"/>
                <w:color w:val="000000"/>
              </w:rPr>
              <w:t>Persoanele fizice care își desfășoară activitatea în România, obțin venituri sub formă de salarii sau asimilate 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cu angajatorul un acord referitor la obligația declarării și plșții contribuțiilor sociale obligatorii.</w:t>
            </w:r>
            <w:proofErr w:type="gramEnd"/>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34" w:history="1">
              <w:r w:rsidRPr="0061169C">
                <w:rPr>
                  <w:rStyle w:val="Hyperlink"/>
                  <w:rFonts w:ascii="Segoe UI" w:hAnsi="Segoe UI" w:cs="Segoe UI"/>
                  <w:b/>
                </w:rPr>
                <w:t>Formularul 300</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nr.227/2015</w:t>
            </w:r>
            <w:r>
              <w:rPr>
                <w:rFonts w:ascii="Segoe UI" w:hAnsi="Segoe UI" w:cs="Segoe UI"/>
                <w:color w:val="000000"/>
              </w:rPr>
              <w:br/>
              <w:t>Lunar, trimestrial, semestrial, anual, altă dată- după caz (vezi instrucțiunile de completare din formular)</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Decontului special de taxa pe valoarea adăugată pentru luna precedentă - </w:t>
            </w:r>
            <w:hyperlink r:id="rId35" w:history="1">
              <w:r w:rsidRPr="0061169C">
                <w:rPr>
                  <w:rStyle w:val="Hyperlink"/>
                  <w:rFonts w:ascii="Segoe UI" w:hAnsi="Segoe UI" w:cs="Segoe UI"/>
                  <w:b/>
                </w:rPr>
                <w:t>Formularul 301</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Declarației privind sumele rezultate din ajustarea taxei pe valoarea adăugată - </w:t>
            </w:r>
            <w:hyperlink r:id="rId36" w:history="1">
              <w:r w:rsidRPr="0061169C">
                <w:rPr>
                  <w:rStyle w:val="Hyperlink"/>
                  <w:rFonts w:ascii="Segoe UI" w:hAnsi="Segoe UI" w:cs="Segoe UI"/>
                  <w:b/>
                </w:rPr>
                <w:t>Formularul 307</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Persoanele impozabile prevăzute la art.280 alin.(6), art.270 alin.(7), art.310 alin.(7), art.316 alin.(11) lit.a) - e) și g) din Legea nr.227/2015</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37" w:history="1">
              <w:r w:rsidRPr="0061169C">
                <w:rPr>
                  <w:rStyle w:val="Hyperlink"/>
                  <w:rFonts w:ascii="Segoe UI" w:hAnsi="Segoe UI" w:cs="Segoe UI"/>
                  <w:b/>
                </w:rPr>
                <w:t>Formularul 311</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nr.227/2015 și care efectuează în perioada în care nu au cod valid de TVA, livrări și/sau achiziții /prestări de bunuri/ servicii care sunt obligate la plata TVA</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Declarației recapitulative privind livrările/achizițiile/prestările intracomunitare de bunuri pentru luna precedentă - </w:t>
            </w:r>
            <w:hyperlink r:id="rId38" w:history="1">
              <w:r w:rsidRPr="0061169C">
                <w:rPr>
                  <w:rStyle w:val="Hyperlink"/>
                  <w:rFonts w:ascii="Segoe UI" w:hAnsi="Segoe UI" w:cs="Segoe UI"/>
                  <w:b/>
                </w:rPr>
                <w:t>Formularul 390 VIES</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Contribuabilii înregistrați în scopuri de TVA conform art. 316 sau art.317 din Legea nr.227/2015</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notificării pentru încetarea aplicării sistemului TVA la încasare - </w:t>
            </w:r>
            <w:hyperlink r:id="rId39" w:history="1">
              <w:r w:rsidRPr="0061169C">
                <w:rPr>
                  <w:rStyle w:val="Hyperlink"/>
                  <w:rFonts w:ascii="Segoe UI" w:hAnsi="Segoe UI" w:cs="Segoe UI"/>
                  <w:b/>
                </w:rPr>
                <w:t>Formularul 097</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Persoanele impozabile care depășesc plafonul de 2.250.000 lei</w:t>
            </w:r>
            <w:proofErr w:type="gramStart"/>
            <w:r>
              <w:rPr>
                <w:rFonts w:ascii="Segoe UI" w:hAnsi="Segoe UI" w:cs="Segoe UI"/>
                <w:color w:val="000000"/>
              </w:rPr>
              <w:t>;</w:t>
            </w:r>
            <w:proofErr w:type="gramEnd"/>
            <w:r>
              <w:rPr>
                <w:rFonts w:ascii="Segoe UI" w:hAnsi="Segoe UI" w:cs="Segoe UI"/>
                <w:color w:val="000000"/>
              </w:rPr>
              <w:br/>
              <w:t>Persoanele impozabile care renunță la aplicarea sistemului TVA la încasare.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25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proofErr w:type="gramStart"/>
            <w:r>
              <w:rPr>
                <w:rFonts w:ascii="Segoe UI" w:hAnsi="Segoe UI" w:cs="Segoe UI"/>
                <w:color w:val="000000"/>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w:t>
            </w:r>
            <w:r>
              <w:rPr>
                <w:rFonts w:ascii="Segoe UI" w:hAnsi="Segoe UI" w:cs="Segoe UI"/>
                <w:color w:val="000000"/>
              </w:rPr>
              <w:lastRenderedPageBreak/>
              <w:t>perioadei de autorizare până la finele lunii precedente celei pentru care se face regularizarea se va declara și plăti până la data de 25 a lunii următoare)</w:t>
            </w:r>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lastRenderedPageBreak/>
              <w:t>Organizatorii de jocuri de tip pariu, jocuri de noroc, bingo organizate prin TV, pariuri on-line, jocuri bingo prin internet, sisteme de telefonie fixă sau mobilă, jocuri de noroc on-line.</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jc w:val="center"/>
              <w:rPr>
                <w:rFonts w:ascii="Segoe UI" w:hAnsi="Segoe UI" w:cs="Segoe UI"/>
                <w:b/>
                <w:bCs/>
                <w:color w:val="009933"/>
                <w:sz w:val="24"/>
                <w:szCs w:val="24"/>
              </w:rPr>
            </w:pPr>
            <w:r>
              <w:rPr>
                <w:rFonts w:ascii="Segoe UI" w:hAnsi="Segoe UI" w:cs="Segoe UI"/>
                <w:b/>
                <w:bCs/>
                <w:color w:val="009933"/>
              </w:rPr>
              <w:t>28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40" w:history="1">
              <w:r>
                <w:rPr>
                  <w:rStyle w:val="Hyperlink"/>
                  <w:rFonts w:ascii="Segoe UI" w:hAnsi="Segoe UI" w:cs="Segoe UI"/>
                </w:rPr>
                <w:t>(Anexa nr.27 din normele metodologice de aplicare a prevederilor titlului VIII din Codul fiscal)</w:t>
              </w:r>
            </w:hyperlink>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1169C" w:rsidRDefault="0061169C">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r w:rsidR="0061169C" w:rsidTr="0061169C">
        <w:trPr>
          <w:tblCellSpacing w:w="15" w:type="dxa"/>
          <w:jc w:val="center"/>
        </w:trPr>
        <w:tc>
          <w:tcPr>
            <w:tcW w:w="20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1169C" w:rsidRDefault="0061169C">
            <w:pPr>
              <w:spacing w:line="252" w:lineRule="atLeast"/>
              <w:jc w:val="center"/>
              <w:rPr>
                <w:rFonts w:ascii="Segoe UI" w:hAnsi="Segoe UI" w:cs="Segoe UI"/>
                <w:b/>
                <w:bCs/>
                <w:color w:val="009933"/>
              </w:rPr>
            </w:pPr>
            <w:r>
              <w:rPr>
                <w:rFonts w:ascii="Segoe UI" w:hAnsi="Segoe UI" w:cs="Segoe UI"/>
                <w:b/>
                <w:bCs/>
                <w:color w:val="009933"/>
              </w:rPr>
              <w:t>1 octombrie (amânat de pe 30 septembrie)</w:t>
            </w:r>
          </w:p>
        </w:tc>
        <w:tc>
          <w:tcPr>
            <w:tcW w:w="4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1169C" w:rsidRDefault="0061169C">
            <w:pPr>
              <w:spacing w:line="252" w:lineRule="atLeast"/>
              <w:rPr>
                <w:rFonts w:ascii="Segoe UI" w:hAnsi="Segoe UI" w:cs="Segoe UI"/>
                <w:color w:val="000000"/>
              </w:rPr>
            </w:pPr>
            <w:r>
              <w:rPr>
                <w:rFonts w:ascii="Segoe UI" w:hAnsi="Segoe UI" w:cs="Segoe UI"/>
                <w:color w:val="000000"/>
                <w:shd w:val="clear" w:color="auto" w:fill="ECF5FF"/>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41" w:history="1">
              <w:r w:rsidRPr="0061169C">
                <w:rPr>
                  <w:rStyle w:val="Hyperlink"/>
                  <w:rFonts w:ascii="Segoe UI" w:hAnsi="Segoe UI" w:cs="Segoe UI"/>
                  <w:b/>
                  <w:shd w:val="clear" w:color="auto" w:fill="ECF5FF"/>
                </w:rPr>
                <w:t>Formularul 394</w:t>
              </w:r>
            </w:hyperlink>
            <w:bookmarkStart w:id="0" w:name="_GoBack"/>
            <w:bookmarkEnd w:id="0"/>
          </w:p>
        </w:tc>
        <w:tc>
          <w:tcPr>
            <w:tcW w:w="40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1169C" w:rsidRDefault="0061169C">
            <w:pPr>
              <w:spacing w:line="252" w:lineRule="atLeast"/>
              <w:rPr>
                <w:rFonts w:ascii="Segoe UI" w:hAnsi="Segoe UI" w:cs="Segoe UI"/>
                <w:color w:val="000000"/>
              </w:rPr>
            </w:pPr>
            <w:r>
              <w:rPr>
                <w:rFonts w:ascii="Segoe UI" w:hAnsi="Segoe UI" w:cs="Segoe UI"/>
                <w:color w:val="000000"/>
                <w:shd w:val="clear" w:color="auto" w:fill="ECF5FF"/>
              </w:rPr>
              <w:t>Persoanele impozabile înregistrate în scopuri de TVA în România, conform art.316 din Legea nr.227/2015, obligate la plata taxei conform art. 307 alin</w:t>
            </w:r>
            <w:proofErr w:type="gramStart"/>
            <w:r>
              <w:rPr>
                <w:rFonts w:ascii="Segoe UI" w:hAnsi="Segoe UI" w:cs="Segoe UI"/>
                <w:color w:val="000000"/>
                <w:shd w:val="clear" w:color="auto" w:fill="ECF5FF"/>
              </w:rPr>
              <w:t>.(</w:t>
            </w:r>
            <w:proofErr w:type="gramEnd"/>
            <w:r>
              <w:rPr>
                <w:rFonts w:ascii="Segoe UI" w:hAnsi="Segoe UI" w:cs="Segoe UI"/>
                <w:color w:val="000000"/>
                <w:shd w:val="clear" w:color="auto" w:fill="ECF5FF"/>
              </w:rPr>
              <w:t>1), (2), (6) și (7) din Legea nr.227/2015, pentru operațiuni impozabile în România conform art.268 alin.(1) din Legea nr.227/2015.</w:t>
            </w:r>
            <w:r>
              <w:rPr>
                <w:rFonts w:ascii="Segoe UI" w:hAnsi="Segoe UI" w:cs="Segoe UI"/>
                <w:color w:val="000000"/>
              </w:rPr>
              <w:br/>
            </w:r>
            <w:r>
              <w:rPr>
                <w:rFonts w:ascii="Segoe UI" w:hAnsi="Segoe UI" w:cs="Segoe UI"/>
                <w:color w:val="000000"/>
                <w:shd w:val="clear" w:color="auto" w:fill="ECF5FF"/>
              </w:rPr>
              <w:t>Persoanele impozabile înregistrate în scopuri de TVA în România, conform art.316 din Legea nr.227/2015, care realizează în România, de la persoanele impozabile înregistrate în scopuri de TVA în România, achiziții de bunuri sau servicii taxabile.</w:t>
            </w:r>
          </w:p>
        </w:tc>
      </w:tr>
    </w:tbl>
    <w:p w:rsidR="0061169C" w:rsidRDefault="0061169C"/>
    <w:sectPr w:rsidR="00611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07649F"/>
    <w:rsid w:val="001174F5"/>
    <w:rsid w:val="004C19AC"/>
    <w:rsid w:val="0061169C"/>
    <w:rsid w:val="006625C6"/>
    <w:rsid w:val="006817E9"/>
    <w:rsid w:val="006E7C9F"/>
    <w:rsid w:val="00A7656D"/>
    <w:rsid w:val="00B564A3"/>
    <w:rsid w:val="00D130CF"/>
    <w:rsid w:val="00DB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1DA7"/>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7189">
      <w:bodyDiv w:val="1"/>
      <w:marLeft w:val="0"/>
      <w:marRight w:val="0"/>
      <w:marTop w:val="0"/>
      <w:marBottom w:val="0"/>
      <w:divBdr>
        <w:top w:val="none" w:sz="0" w:space="0" w:color="auto"/>
        <w:left w:val="none" w:sz="0" w:space="0" w:color="auto"/>
        <w:bottom w:val="none" w:sz="0" w:space="0" w:color="auto"/>
        <w:right w:val="none" w:sz="0" w:space="0" w:color="auto"/>
      </w:divBdr>
    </w:div>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929119131">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asistenta_contribuabili/toate_formularele_cu_explic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fontTable" Target="fontTable.xm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asistenta_contribuabili/toate_formularele_cu_explic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static.anaf.ro/static/10/Anaf/AsistentaContribuabili_r/Calendar/Calendar_obligatii_fiscale_2018.htm"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10" Type="http://schemas.openxmlformats.org/officeDocument/2006/relationships/hyperlink" Target="https://www.anaf.ro/anaf/internet/ANAF/servicii_online/declaratii_electronice/descarcare_declar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 Type="http://schemas.openxmlformats.org/officeDocument/2006/relationships/webSettings" Target="webSettings.xml"/><Relationship Id="rId9" Type="http://schemas.openxmlformats.org/officeDocument/2006/relationships/hyperlink" Target="https://www.anaf.ro/anaf/internet/ANAF/asistenta_contribuabili/toate_formularele_cu_explic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theme" Target="theme/theme1.xml"/><Relationship Id="rId8" Type="http://schemas.openxmlformats.org/officeDocument/2006/relationships/hyperlink" Target="https://www.anaf.ro/anaf/internet/ANAF/servicii_online/declaratii_electronice/descarcare_declaratii" TargetMode="External"/><Relationship Id="rId3" Type="http://schemas.openxmlformats.org/officeDocument/2006/relationships/settings" Target="settings.xml"/><Relationship Id="rId12" Type="http://schemas.openxmlformats.org/officeDocument/2006/relationships/hyperlink" Target="https://www.anaf.ro/anaf/internet/ANAF/servicii_online/declaratii_electronice/descarcare_declar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7</cp:revision>
  <dcterms:created xsi:type="dcterms:W3CDTF">2018-05-31T10:43:00Z</dcterms:created>
  <dcterms:modified xsi:type="dcterms:W3CDTF">2018-09-03T10:14:00Z</dcterms:modified>
</cp:coreProperties>
</file>