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B3F" w:rsidRPr="007B3B3F" w:rsidRDefault="007B3B3F" w:rsidP="007B3B3F">
      <w:pPr>
        <w:spacing w:before="100" w:beforeAutospacing="1" w:after="100" w:afterAutospacing="1" w:line="240" w:lineRule="auto"/>
        <w:rPr>
          <w:rFonts w:eastAsia="Times New Roman" w:cstheme="minorHAnsi"/>
          <w:b/>
          <w:i/>
        </w:rPr>
      </w:pPr>
      <w:r w:rsidRPr="00BA614F">
        <w:rPr>
          <w:rFonts w:eastAsia="Times New Roman" w:cstheme="minorHAnsi"/>
          <w:b/>
          <w:bCs/>
          <w:i/>
        </w:rPr>
        <w:t xml:space="preserve">Până pe 15 </w:t>
      </w:r>
      <w:r w:rsidR="00DD3DB4">
        <w:rPr>
          <w:rFonts w:eastAsia="Times New Roman" w:cstheme="minorHAnsi"/>
          <w:b/>
          <w:bCs/>
          <w:i/>
        </w:rPr>
        <w:t>martie</w:t>
      </w:r>
      <w:r w:rsidRPr="00BA614F">
        <w:rPr>
          <w:rFonts w:eastAsia="Times New Roman" w:cstheme="minorHAnsi"/>
          <w:b/>
          <w:bCs/>
          <w:i/>
        </w:rPr>
        <w:t xml:space="preserve"> trebuie efectuate următoarele raportări:</w:t>
      </w:r>
    </w:p>
    <w:p w:rsidR="007B3B3F" w:rsidRPr="007B3B3F" w:rsidRDefault="007B3B3F" w:rsidP="007B3B3F">
      <w:pPr>
        <w:spacing w:before="100" w:beforeAutospacing="1" w:after="100" w:afterAutospacing="1" w:line="240" w:lineRule="auto"/>
        <w:rPr>
          <w:rFonts w:eastAsia="Times New Roman" w:cstheme="minorHAnsi"/>
        </w:rPr>
      </w:pPr>
      <w:r w:rsidRPr="00BA614F">
        <w:rPr>
          <w:rFonts w:eastAsia="Times New Roman" w:cstheme="minorHAnsi"/>
          <w:b/>
          <w:bCs/>
        </w:rPr>
        <w:t>Situaţia eliberărilor pentru consum de ţigarete/ţigări şi ţigări de foi în luna ... anul ....</w:t>
      </w:r>
      <w:r w:rsidRPr="007B3B3F">
        <w:rPr>
          <w:rFonts w:eastAsia="Times New Roman" w:cstheme="minorHAnsi"/>
        </w:rPr>
        <w:t> Se depune de către antrepozitarii autorizaţi, destinatarii înregistraţi sau importatorii autorizaţi pentru produse din grupa tutunului prelucrat.</w:t>
      </w:r>
    </w:p>
    <w:p w:rsidR="007B3B3F" w:rsidRPr="007B3B3F" w:rsidRDefault="007B3B3F" w:rsidP="007B3B3F">
      <w:pPr>
        <w:spacing w:before="100" w:beforeAutospacing="1" w:after="100" w:afterAutospacing="1" w:line="240" w:lineRule="auto"/>
        <w:rPr>
          <w:rFonts w:eastAsia="Times New Roman" w:cstheme="minorHAnsi"/>
        </w:rPr>
      </w:pPr>
      <w:r w:rsidRPr="00BA614F">
        <w:rPr>
          <w:rFonts w:eastAsia="Times New Roman" w:cstheme="minorHAnsi"/>
          <w:b/>
          <w:bCs/>
        </w:rPr>
        <w:t>Situaţia eliberărilor pentru consum de tutun fin tăiat, destinat rulării în ţigarete/alte tutunuri de fumat în luna ... anul ....</w:t>
      </w:r>
      <w:r w:rsidRPr="007B3B3F">
        <w:rPr>
          <w:rFonts w:eastAsia="Times New Roman" w:cstheme="minorHAnsi"/>
        </w:rPr>
        <w:t> Se depune de către antrepozitarii autorizaţi, destinatarii înregistraţi sau importatorii autorizaţi pentru produse din grupa tutunului prelucrat.</w:t>
      </w:r>
    </w:p>
    <w:p w:rsidR="007B3B3F" w:rsidRPr="007B3B3F" w:rsidRDefault="007B3B3F" w:rsidP="007B3B3F">
      <w:pPr>
        <w:spacing w:before="100" w:beforeAutospacing="1" w:after="100" w:afterAutospacing="1" w:line="240" w:lineRule="auto"/>
        <w:rPr>
          <w:rFonts w:eastAsia="Times New Roman" w:cstheme="minorHAnsi"/>
        </w:rPr>
      </w:pPr>
      <w:r w:rsidRPr="00BA614F">
        <w:rPr>
          <w:rFonts w:eastAsia="Times New Roman" w:cstheme="minorHAnsi"/>
          <w:b/>
          <w:bCs/>
        </w:rPr>
        <w:t>Situația centralizatoare privind achizițiile/utilizările de produse accizabile și livrările de produse finite rezultate în luna ... anul ...</w:t>
      </w:r>
      <w:r w:rsidRPr="007B3B3F">
        <w:rPr>
          <w:rFonts w:eastAsia="Times New Roman" w:cstheme="minorHAnsi"/>
        </w:rPr>
        <w:t>, pentru luna precedentă. Se depune de către operatorii economici care dețin autorizații de utilizator final (produse energetice, alcool etilic şi produse alcoolice).</w:t>
      </w:r>
    </w:p>
    <w:p w:rsidR="007B3B3F" w:rsidRPr="007B3B3F" w:rsidRDefault="007B3B3F" w:rsidP="007B3B3F">
      <w:pPr>
        <w:spacing w:before="100" w:beforeAutospacing="1" w:after="100" w:afterAutospacing="1" w:line="240" w:lineRule="auto"/>
        <w:rPr>
          <w:rFonts w:eastAsia="Times New Roman" w:cstheme="minorHAnsi"/>
        </w:rPr>
      </w:pPr>
      <w:r w:rsidRPr="00BA614F">
        <w:rPr>
          <w:rFonts w:eastAsia="Times New Roman" w:cstheme="minorHAnsi"/>
          <w:b/>
          <w:bCs/>
        </w:rPr>
        <w:t>Situația centralizatoare privind achizițiile și livrările de produse accizabile pentru luna precedentă</w:t>
      </w:r>
      <w:r w:rsidRPr="007B3B3F">
        <w:rPr>
          <w:rFonts w:eastAsia="Times New Roman" w:cstheme="minorHAnsi"/>
        </w:rPr>
        <w:t>. Se depune de către destinatarii înregistraţi şi reprezentanţii fiscali pentru achiziţiile şi livrările de produse accizabile.</w:t>
      </w:r>
    </w:p>
    <w:p w:rsidR="007B3B3F" w:rsidRPr="007B3B3F" w:rsidRDefault="007B3B3F" w:rsidP="007B3B3F">
      <w:pPr>
        <w:spacing w:before="100" w:beforeAutospacing="1" w:after="100" w:afterAutospacing="1" w:line="240" w:lineRule="auto"/>
        <w:rPr>
          <w:rFonts w:eastAsia="Times New Roman" w:cstheme="minorHAnsi"/>
        </w:rPr>
      </w:pPr>
      <w:r w:rsidRPr="00BA614F">
        <w:rPr>
          <w:rFonts w:eastAsia="Times New Roman" w:cstheme="minorHAnsi"/>
          <w:b/>
          <w:bCs/>
        </w:rPr>
        <w:t>Situația privind operațiunile desfășurate în antrepozitul fiscal de producție de alcool și băuturi spirtoase pentru luna precedentă</w:t>
      </w:r>
      <w:r w:rsidRPr="007B3B3F">
        <w:rPr>
          <w:rFonts w:eastAsia="Times New Roman" w:cstheme="minorHAnsi"/>
        </w:rPr>
        <w:t>. Se depune de către antrepozitarii autorizaţi pentru producţie produse accizabile.</w:t>
      </w:r>
    </w:p>
    <w:p w:rsidR="007B3B3F" w:rsidRPr="007B3B3F" w:rsidRDefault="007B3B3F" w:rsidP="007B3B3F">
      <w:pPr>
        <w:spacing w:before="100" w:beforeAutospacing="1" w:after="100" w:afterAutospacing="1" w:line="240" w:lineRule="auto"/>
        <w:rPr>
          <w:rFonts w:eastAsia="Times New Roman" w:cstheme="minorHAnsi"/>
        </w:rPr>
      </w:pPr>
      <w:r w:rsidRPr="00BA614F">
        <w:rPr>
          <w:rFonts w:eastAsia="Times New Roman" w:cstheme="minorHAnsi"/>
          <w:b/>
          <w:bCs/>
        </w:rPr>
        <w:t>Situația privind operațiunile desfășurate în antrepozitul fiscal de producție de vinuri/bauturi fermentate/produse intermediare pentru luna precedentă</w:t>
      </w:r>
      <w:r w:rsidRPr="007B3B3F">
        <w:rPr>
          <w:rFonts w:eastAsia="Times New Roman" w:cstheme="minorHAnsi"/>
        </w:rPr>
        <w:t>. Se depune de către antrepozitarii autorizaţi pentru producţie produse accizabile.</w:t>
      </w:r>
    </w:p>
    <w:p w:rsidR="007B3B3F" w:rsidRPr="007B3B3F" w:rsidRDefault="007B3B3F" w:rsidP="007B3B3F">
      <w:pPr>
        <w:spacing w:before="100" w:beforeAutospacing="1" w:after="100" w:afterAutospacing="1" w:line="240" w:lineRule="auto"/>
        <w:rPr>
          <w:rFonts w:eastAsia="Times New Roman" w:cstheme="minorHAnsi"/>
        </w:rPr>
      </w:pPr>
      <w:r w:rsidRPr="00BA614F">
        <w:rPr>
          <w:rFonts w:eastAsia="Times New Roman" w:cstheme="minorHAnsi"/>
          <w:b/>
          <w:bCs/>
        </w:rPr>
        <w:t>Situația privind operațiunile desfășurate în antrepozitul fiscal de producție de bere pentru luna precedentă</w:t>
      </w:r>
      <w:r w:rsidRPr="007B3B3F">
        <w:rPr>
          <w:rFonts w:eastAsia="Times New Roman" w:cstheme="minorHAnsi"/>
        </w:rPr>
        <w:t>. Se depune de către antrepozitarii autorizaţi pentru producţie produse accizabile.</w:t>
      </w:r>
    </w:p>
    <w:p w:rsidR="007B3B3F" w:rsidRPr="007B3B3F" w:rsidRDefault="007B3B3F" w:rsidP="007B3B3F">
      <w:pPr>
        <w:spacing w:before="100" w:beforeAutospacing="1" w:after="100" w:afterAutospacing="1" w:line="240" w:lineRule="auto"/>
        <w:rPr>
          <w:rFonts w:eastAsia="Times New Roman" w:cstheme="minorHAnsi"/>
        </w:rPr>
      </w:pPr>
      <w:r w:rsidRPr="00BA614F">
        <w:rPr>
          <w:rFonts w:eastAsia="Times New Roman" w:cstheme="minorHAnsi"/>
          <w:b/>
          <w:bCs/>
        </w:rPr>
        <w:t>Situația privind operațiunile desfășurate în antrepozitul fiscal de producție tutunuri prelucrate pentru luna precedentă</w:t>
      </w:r>
      <w:r w:rsidRPr="007B3B3F">
        <w:rPr>
          <w:rFonts w:eastAsia="Times New Roman" w:cstheme="minorHAnsi"/>
        </w:rPr>
        <w:t>. Se depune de către antrepozitarii autorizaţi pentru producţie produse accizabile.</w:t>
      </w:r>
    </w:p>
    <w:p w:rsidR="007B3B3F" w:rsidRPr="007B3B3F" w:rsidRDefault="007B3B3F" w:rsidP="007B3B3F">
      <w:pPr>
        <w:spacing w:before="100" w:beforeAutospacing="1" w:after="100" w:afterAutospacing="1" w:line="240" w:lineRule="auto"/>
        <w:rPr>
          <w:rFonts w:eastAsia="Times New Roman" w:cstheme="minorHAnsi"/>
        </w:rPr>
      </w:pPr>
      <w:r w:rsidRPr="00BA614F">
        <w:rPr>
          <w:rFonts w:eastAsia="Times New Roman" w:cstheme="minorHAnsi"/>
          <w:b/>
          <w:bCs/>
        </w:rPr>
        <w:t>Situația privind operațiunile desfășurate în antrepozitul fiscal de producție de produse energetice pentru luna precedentă</w:t>
      </w:r>
      <w:r w:rsidRPr="007B3B3F">
        <w:rPr>
          <w:rFonts w:eastAsia="Times New Roman" w:cstheme="minorHAnsi"/>
        </w:rPr>
        <w:t>. Se depune de către antrepozitarii autorizaţi pentru producţie produse accizabile.</w:t>
      </w:r>
    </w:p>
    <w:p w:rsidR="007B3B3F" w:rsidRPr="007B3B3F" w:rsidRDefault="007B3B3F" w:rsidP="007B3B3F">
      <w:pPr>
        <w:spacing w:before="100" w:beforeAutospacing="1" w:after="100" w:afterAutospacing="1" w:line="240" w:lineRule="auto"/>
        <w:rPr>
          <w:rFonts w:eastAsia="Times New Roman" w:cstheme="minorHAnsi"/>
        </w:rPr>
      </w:pPr>
      <w:r w:rsidRPr="00BA614F">
        <w:rPr>
          <w:rFonts w:eastAsia="Times New Roman" w:cstheme="minorHAnsi"/>
          <w:b/>
          <w:bCs/>
        </w:rPr>
        <w:t>Situația privind operațiunile desfășurate în antrepozitul fiscal de depozitare pentru luna precedentă</w:t>
      </w:r>
      <w:r w:rsidRPr="007B3B3F">
        <w:rPr>
          <w:rFonts w:eastAsia="Times New Roman" w:cstheme="minorHAnsi"/>
        </w:rPr>
        <w:t>. Se depune de către antrepozitarii autorizaţi pentru producţie produse accizabile.</w:t>
      </w:r>
    </w:p>
    <w:p w:rsidR="007B3B3F" w:rsidRPr="007B3B3F" w:rsidRDefault="007B3B3F" w:rsidP="007B3B3F">
      <w:pPr>
        <w:spacing w:before="100" w:beforeAutospacing="1" w:after="100" w:afterAutospacing="1" w:line="240" w:lineRule="auto"/>
        <w:rPr>
          <w:rFonts w:eastAsia="Times New Roman" w:cstheme="minorHAnsi"/>
        </w:rPr>
      </w:pPr>
      <w:r w:rsidRPr="00BA614F">
        <w:rPr>
          <w:rFonts w:eastAsia="Times New Roman" w:cstheme="minorHAnsi"/>
          <w:b/>
          <w:bCs/>
        </w:rPr>
        <w:t>Jurnalele pentru luna precedentă privind livrările de combustibil destinat utilizării exclusiv pentru aviație sau navigaţie</w:t>
      </w:r>
      <w:r w:rsidRPr="007B3B3F">
        <w:rPr>
          <w:rFonts w:eastAsia="Times New Roman" w:cstheme="minorHAnsi"/>
        </w:rPr>
        <w:t>. Trebuie depuse de către antrepozitarii autorizaţi pentru producţie/ depozitare.</w:t>
      </w:r>
    </w:p>
    <w:p w:rsidR="007B3B3F" w:rsidRPr="007B3B3F" w:rsidRDefault="007B3B3F" w:rsidP="007B3B3F">
      <w:pPr>
        <w:spacing w:before="100" w:beforeAutospacing="1" w:after="100" w:afterAutospacing="1" w:line="240" w:lineRule="auto"/>
        <w:rPr>
          <w:rFonts w:eastAsia="Times New Roman" w:cstheme="minorHAnsi"/>
        </w:rPr>
      </w:pPr>
      <w:r w:rsidRPr="00BA614F">
        <w:rPr>
          <w:rFonts w:eastAsia="Times New Roman" w:cstheme="minorHAnsi"/>
          <w:b/>
          <w:bCs/>
        </w:rPr>
        <w:t>Jurnalele pentru luna precedentă privind achizițiile/ livrările de combustibil destinat utilizării exclusiv pentru aviație sau navigaţie</w:t>
      </w:r>
      <w:r w:rsidRPr="007B3B3F">
        <w:rPr>
          <w:rFonts w:eastAsia="Times New Roman" w:cstheme="minorHAnsi"/>
        </w:rPr>
        <w:t>. Se depun de către antrepozitarii autorizați pentru depozitare.</w:t>
      </w:r>
    </w:p>
    <w:p w:rsidR="007B3B3F" w:rsidRPr="007B3B3F" w:rsidRDefault="007B3B3F" w:rsidP="007B3B3F">
      <w:pPr>
        <w:spacing w:before="100" w:beforeAutospacing="1" w:after="100" w:afterAutospacing="1" w:line="240" w:lineRule="auto"/>
        <w:rPr>
          <w:rFonts w:eastAsia="Times New Roman" w:cstheme="minorHAnsi"/>
        </w:rPr>
      </w:pPr>
      <w:r w:rsidRPr="00BA614F">
        <w:rPr>
          <w:rFonts w:eastAsia="Times New Roman" w:cstheme="minorHAnsi"/>
          <w:b/>
          <w:bCs/>
        </w:rPr>
        <w:t>Situația privind privind livrările de produse accizabile în luna ... anul ... pentru luna precedentă</w:t>
      </w:r>
      <w:r w:rsidRPr="007B3B3F">
        <w:rPr>
          <w:rFonts w:eastAsia="Times New Roman" w:cstheme="minorHAnsi"/>
        </w:rPr>
        <w:t>. Se depune de către operatorii economici care deţin autorizaţii de expeditor înregistrat.</w:t>
      </w:r>
    </w:p>
    <w:p w:rsidR="007B3B3F" w:rsidRDefault="007B3B3F" w:rsidP="007B3B3F">
      <w:pPr>
        <w:spacing w:before="100" w:beforeAutospacing="1" w:after="100" w:afterAutospacing="1" w:line="240" w:lineRule="auto"/>
        <w:rPr>
          <w:rFonts w:eastAsia="Times New Roman" w:cstheme="minorHAnsi"/>
        </w:rPr>
      </w:pPr>
      <w:r w:rsidRPr="00BA614F">
        <w:rPr>
          <w:rFonts w:eastAsia="Times New Roman" w:cstheme="minorHAnsi"/>
          <w:b/>
          <w:bCs/>
        </w:rPr>
        <w:lastRenderedPageBreak/>
        <w:t>Evidența achiziționării, utilizării și returnării marcajelor pentru luna precedentă</w:t>
      </w:r>
      <w:r w:rsidRPr="007B3B3F">
        <w:rPr>
          <w:rFonts w:eastAsia="Times New Roman" w:cstheme="minorHAnsi"/>
        </w:rPr>
        <w:t>. Se depune de către antrepozitarii autorizaţi, destinatarii înregistraţi şi importatorii autorizaţi de produse supuse marcării.</w:t>
      </w:r>
    </w:p>
    <w:p w:rsidR="00DD3DB4" w:rsidRPr="007B3B3F" w:rsidRDefault="00DD3DB4" w:rsidP="007B3B3F">
      <w:pPr>
        <w:spacing w:before="100" w:beforeAutospacing="1" w:after="100" w:afterAutospacing="1" w:line="240" w:lineRule="auto"/>
        <w:rPr>
          <w:rFonts w:eastAsia="Times New Roman" w:cstheme="minorHAnsi"/>
        </w:rPr>
      </w:pPr>
      <w:r>
        <w:rPr>
          <w:rFonts w:eastAsia="Times New Roman" w:cstheme="minorHAnsi"/>
        </w:rPr>
        <w:t>15 martie este și termenul pentru d</w:t>
      </w:r>
      <w:r w:rsidRPr="00DD3DB4">
        <w:rPr>
          <w:rFonts w:eastAsia="Times New Roman" w:cstheme="minorHAnsi"/>
        </w:rPr>
        <w:t xml:space="preserve">epunerea </w:t>
      </w:r>
      <w:r w:rsidRPr="00DD3DB4">
        <w:rPr>
          <w:rFonts w:eastAsia="Times New Roman" w:cstheme="minorHAnsi"/>
          <w:b/>
        </w:rPr>
        <w:t>Declarației anuale de venit pentru asociațiile fără personalitate juridică și entități supuse regimului transparenței fiscale pentru anul precedent - Formularul 204</w:t>
      </w:r>
      <w:r w:rsidRPr="00DD3DB4">
        <w:rPr>
          <w:rFonts w:eastAsia="Times New Roman" w:cstheme="minorHAnsi"/>
        </w:rPr>
        <w:t>. Se depune de către asociațiile fără personalitate juridică, prin asociatul desemnat.</w:t>
      </w:r>
    </w:p>
    <w:p w:rsidR="007B3B3F" w:rsidRPr="007B3B3F" w:rsidRDefault="007B3B3F" w:rsidP="007B3B3F">
      <w:pPr>
        <w:spacing w:before="100" w:beforeAutospacing="1" w:after="100" w:afterAutospacing="1" w:line="240" w:lineRule="auto"/>
        <w:rPr>
          <w:rFonts w:eastAsia="Times New Roman" w:cstheme="minorHAnsi"/>
        </w:rPr>
      </w:pPr>
      <w:r w:rsidRPr="00BA614F">
        <w:rPr>
          <w:rFonts w:eastAsia="Times New Roman" w:cstheme="minorHAnsi"/>
          <w:b/>
          <w:bCs/>
        </w:rPr>
        <w:t>Important! </w:t>
      </w:r>
      <w:r w:rsidRPr="007B3B3F">
        <w:rPr>
          <w:rFonts w:eastAsia="Times New Roman" w:cstheme="minorHAnsi"/>
        </w:rPr>
        <w:t xml:space="preserve">Cu toate că nu este declarație fiscală, avocatnet.ro vă reamintește că, până pe 15 </w:t>
      </w:r>
      <w:r w:rsidR="00DD3DB4">
        <w:rPr>
          <w:rFonts w:eastAsia="Times New Roman" w:cstheme="minorHAnsi"/>
        </w:rPr>
        <w:t>martie</w:t>
      </w:r>
      <w:r w:rsidRPr="007B3B3F">
        <w:rPr>
          <w:rFonts w:eastAsia="Times New Roman" w:cstheme="minorHAnsi"/>
        </w:rPr>
        <w:t>, trebuie depusă </w:t>
      </w:r>
      <w:hyperlink r:id="rId5" w:tgtFrame="_blank" w:history="1">
        <w:r w:rsidRPr="00BA614F">
          <w:rPr>
            <w:rFonts w:eastAsia="Times New Roman" w:cstheme="minorHAnsi"/>
            <w:u w:val="single"/>
          </w:rPr>
          <w:t>declarația INTRASTAT</w:t>
        </w:r>
      </w:hyperlink>
      <w:r w:rsidRPr="007B3B3F">
        <w:rPr>
          <w:rFonts w:eastAsia="Times New Roman" w:cstheme="minorHAnsi"/>
        </w:rPr>
        <w:t>, al cărei prag valoric este și în 2018 de </w:t>
      </w:r>
      <w:r w:rsidRPr="00BA614F">
        <w:rPr>
          <w:rFonts w:eastAsia="Times New Roman" w:cstheme="minorHAnsi"/>
          <w:b/>
          <w:bCs/>
        </w:rPr>
        <w:t>900.000 de lei</w:t>
      </w:r>
      <w:r w:rsidRPr="007B3B3F">
        <w:rPr>
          <w:rFonts w:eastAsia="Times New Roman" w:cstheme="minorHAnsi"/>
        </w:rPr>
        <w:t>, atât pentru introducerile intracomunitare de bunuri, cât şi pentru expedierile intracomunitare de bunuri. Termenul-limită de transmitere a acestei declarații îl reprezintă întotdeauna data de 15 a lunii următoare celei de referință, chiar dacă într-o lună aceasta este o zi liberă, precum sâmbăta sau duminica. Totuși, declarația poate fi depusă online şi în prima zi lucrătoare care urmeaza datei de 15.</w:t>
      </w:r>
      <w:r w:rsidR="00DD3DB4">
        <w:rPr>
          <w:rFonts w:eastAsia="Times New Roman" w:cstheme="minorHAnsi"/>
        </w:rPr>
        <w:t xml:space="preserve"> </w:t>
      </w:r>
      <w:r w:rsidR="00DD3DB4" w:rsidRPr="00DD3DB4">
        <w:rPr>
          <w:rFonts w:eastAsia="Times New Roman" w:cstheme="minorHAnsi"/>
        </w:rPr>
        <w:t>Sunt obligate la depunerea declarațiilor Intrastat societățile care au avut această obligație de depunere și în anul anterior sau dacă au atins pragul de materialitate în timpul anului (declarațiile se depun începând cu luna în care societatea a atins aceste praguri de materialitate).</w:t>
      </w:r>
    </w:p>
    <w:p w:rsidR="007B3B3F" w:rsidRPr="007B3B3F" w:rsidRDefault="007B3B3F" w:rsidP="007B3B3F">
      <w:pPr>
        <w:spacing w:before="100" w:beforeAutospacing="1" w:after="100" w:afterAutospacing="1" w:line="240" w:lineRule="auto"/>
        <w:outlineLvl w:val="1"/>
        <w:rPr>
          <w:rFonts w:eastAsia="Times New Roman" w:cstheme="minorHAnsi"/>
          <w:b/>
          <w:bCs/>
          <w:i/>
        </w:rPr>
      </w:pPr>
      <w:r w:rsidRPr="007B3B3F">
        <w:rPr>
          <w:rFonts w:eastAsia="Times New Roman" w:cstheme="minorHAnsi"/>
          <w:b/>
          <w:bCs/>
          <w:i/>
        </w:rPr>
        <w:t xml:space="preserve">Declarațiile cu termenul-limită în 26 </w:t>
      </w:r>
      <w:r w:rsidR="00DD3DB4">
        <w:rPr>
          <w:rFonts w:eastAsia="Times New Roman" w:cstheme="minorHAnsi"/>
          <w:b/>
          <w:bCs/>
          <w:i/>
        </w:rPr>
        <w:t>martie</w:t>
      </w:r>
    </w:p>
    <w:p w:rsidR="007B3B3F" w:rsidRPr="007B3B3F" w:rsidRDefault="007B3B3F" w:rsidP="007B3B3F">
      <w:pPr>
        <w:spacing w:before="100" w:beforeAutospacing="1" w:after="100" w:afterAutospacing="1" w:line="240" w:lineRule="auto"/>
        <w:rPr>
          <w:rFonts w:eastAsia="Times New Roman" w:cstheme="minorHAnsi"/>
        </w:rPr>
      </w:pPr>
      <w:r w:rsidRPr="00BA614F">
        <w:rPr>
          <w:rFonts w:eastAsia="Times New Roman" w:cstheme="minorHAnsi"/>
          <w:b/>
          <w:bCs/>
        </w:rPr>
        <w:t>Notificarea pentru încetarea aplicării sistemului TVA la încasare, Formularul 097</w:t>
      </w:r>
      <w:r w:rsidRPr="007B3B3F">
        <w:rPr>
          <w:rFonts w:eastAsia="Times New Roman" w:cstheme="minorHAnsi"/>
        </w:rPr>
        <w:t>. Se depune de către persoanele impozabile care depășesc plafonul de 2.250.000 lei, de persoanele impozabile care renunță la aplicarea sistemului TVA la încasare. În ceea ce priveşte persoanele impozabile care aplică sistemul TVA la încasare şi care nu depăşesc în cursul unui an plafonul de 2.250.000 lei, dar care renunţă la aplicarea sistemului respectiv, prin opţiune, depun notificarea pentru ieşirea din sistem între data de 1 şi 25 ale oricărei luni.</w:t>
      </w:r>
    </w:p>
    <w:p w:rsidR="007B3B3F" w:rsidRPr="007B3B3F" w:rsidRDefault="007B3B3F" w:rsidP="007B3B3F">
      <w:pPr>
        <w:spacing w:before="100" w:beforeAutospacing="1" w:after="100" w:afterAutospacing="1" w:line="240" w:lineRule="auto"/>
        <w:rPr>
          <w:rFonts w:eastAsia="Times New Roman" w:cstheme="minorHAnsi"/>
        </w:rPr>
      </w:pPr>
      <w:r w:rsidRPr="00BA614F">
        <w:rPr>
          <w:rFonts w:eastAsia="Times New Roman" w:cstheme="minorHAnsi"/>
          <w:b/>
          <w:bCs/>
        </w:rPr>
        <w:t>Declaraţia privind obligaţiile de plată la bugetul de stat, Formularul 100</w:t>
      </w:r>
      <w:r w:rsidRPr="007B3B3F">
        <w:rPr>
          <w:rFonts w:eastAsia="Times New Roman" w:cstheme="minorHAnsi"/>
        </w:rPr>
        <w:t xml:space="preserve">. Se completează de plătitorii de impozite, taxe și contribuții sociale cărora le revin obligații de plată la bugetul stat. Declaraţia se depune în format electronic sau pe hârtie prin codificarea informaţiilor sub formă de cod de bare. Potrivit normelor în vigoare, contribuabilii mari şi contribuabilii mijlocii, precum şi sediile secundare ale acestora, au obligaţia depunerii prin mijloace electronice de transmitere la distanţă, prin accesarea site-ului </w:t>
      </w:r>
      <w:hyperlink r:id="rId6" w:history="1">
        <w:r w:rsidRPr="00AD33F1">
          <w:rPr>
            <w:rStyle w:val="Hyperlink"/>
            <w:rFonts w:eastAsia="Times New Roman" w:cstheme="minorHAnsi"/>
          </w:rPr>
          <w:t>www.e-guvernare.ro</w:t>
        </w:r>
      </w:hyperlink>
      <w:bookmarkStart w:id="0" w:name="_GoBack"/>
      <w:bookmarkEnd w:id="0"/>
      <w:r w:rsidRPr="007B3B3F">
        <w:rPr>
          <w:rFonts w:eastAsia="Times New Roman" w:cstheme="minorHAnsi"/>
        </w:rPr>
        <w:t>.</w:t>
      </w:r>
    </w:p>
    <w:p w:rsidR="007B3B3F" w:rsidRPr="00BA614F" w:rsidRDefault="007B3B3F" w:rsidP="007B3B3F">
      <w:pPr>
        <w:spacing w:before="100" w:beforeAutospacing="1" w:after="100" w:afterAutospacing="1" w:line="240" w:lineRule="auto"/>
        <w:rPr>
          <w:rFonts w:eastAsia="Times New Roman" w:cstheme="minorHAnsi"/>
        </w:rPr>
      </w:pPr>
      <w:r w:rsidRPr="007B3B3F">
        <w:rPr>
          <w:rFonts w:eastAsia="Times New Roman" w:cstheme="minorHAnsi"/>
          <w:b/>
        </w:rPr>
        <w:t>Declarația privind impozitul pe profit, Formularul 101</w:t>
      </w:r>
      <w:r w:rsidRPr="007B3B3F">
        <w:rPr>
          <w:rFonts w:eastAsia="Times New Roman" w:cstheme="minorHAnsi"/>
        </w:rPr>
        <w:t xml:space="preserve">. Se depune de către </w:t>
      </w:r>
      <w:r w:rsidR="00DD3DB4">
        <w:rPr>
          <w:rFonts w:eastAsia="Times New Roman" w:cstheme="minorHAnsi"/>
        </w:rPr>
        <w:t xml:space="preserve">plătitorii de impozit pe profit pentru anul 2017. </w:t>
      </w:r>
      <w:r w:rsidR="00DD3DB4" w:rsidRPr="00DD3DB4">
        <w:rPr>
          <w:rFonts w:eastAsia="Times New Roman" w:cstheme="minorHAnsi"/>
        </w:rPr>
        <w:t>În ceea ce îi privește pe contribuabilii care au optat pentru un exercițiu financiar diferit, aceștia vor depune declarația și vor plăti impozitul până pe data de 25 a celei de-a treia luni de la închiderea anului fiscal modificat.</w:t>
      </w:r>
    </w:p>
    <w:p w:rsidR="007B3B3F" w:rsidRPr="00BA614F" w:rsidRDefault="007B3B3F" w:rsidP="007B3B3F">
      <w:pPr>
        <w:spacing w:before="390" w:after="390" w:line="240" w:lineRule="auto"/>
        <w:rPr>
          <w:rFonts w:eastAsia="Times New Roman" w:cstheme="minorHAnsi"/>
        </w:rPr>
      </w:pPr>
      <w:r w:rsidRPr="00BA614F">
        <w:rPr>
          <w:rFonts w:eastAsia="Times New Roman" w:cstheme="minorHAnsi"/>
          <w:b/>
          <w:bCs/>
        </w:rPr>
        <w:t>Declaraţia privind obligaţiile de plată a contribuţiilor sociale, impozitului pe venit si evidenţa nominală a persoanelor asigurate, Formularul 112</w:t>
      </w:r>
      <w:r w:rsidRPr="00BA614F">
        <w:rPr>
          <w:rFonts w:eastAsia="Times New Roman" w:cstheme="minorHAnsi"/>
        </w:rPr>
        <w:t>. Aceasta se depune pentru luna precedentă de către:</w:t>
      </w:r>
    </w:p>
    <w:p w:rsidR="007B3B3F" w:rsidRPr="00BA614F" w:rsidRDefault="007B3B3F" w:rsidP="007B3B3F">
      <w:pPr>
        <w:numPr>
          <w:ilvl w:val="0"/>
          <w:numId w:val="1"/>
        </w:numPr>
        <w:spacing w:before="100" w:beforeAutospacing="1" w:after="100" w:afterAutospacing="1" w:line="240" w:lineRule="auto"/>
        <w:rPr>
          <w:rFonts w:eastAsia="Times New Roman" w:cstheme="minorHAnsi"/>
        </w:rPr>
      </w:pPr>
      <w:r w:rsidRPr="00BA614F">
        <w:rPr>
          <w:rFonts w:eastAsia="Times New Roman" w:cstheme="minorHAnsi"/>
        </w:rPr>
        <w:t xml:space="preserve">persoanele fizice și juridice care au calitatea de angajatori sau sunt asimilate acestora, instituțiile prevăzute la art.136 lit. d) - f) din noul </w:t>
      </w:r>
      <w:proofErr w:type="gramStart"/>
      <w:r w:rsidRPr="00BA614F">
        <w:rPr>
          <w:rFonts w:eastAsia="Times New Roman" w:cstheme="minorHAnsi"/>
        </w:rPr>
        <w:t>Cod  fiscal</w:t>
      </w:r>
      <w:proofErr w:type="gramEnd"/>
      <w:r w:rsidRPr="00BA614F">
        <w:rPr>
          <w:rFonts w:eastAsia="Times New Roman" w:cstheme="minorHAnsi"/>
        </w:rPr>
        <w:t>, precum și persoanele fizice care realizează în România venituri din salarii sau asimilate salariilor de la angajatori din state care nu intră sub incidența legislației europene aplicabile în domeniul securității sociale, precum și a acordurilor privind sistemele de securitate socială la care România este parte.</w:t>
      </w:r>
    </w:p>
    <w:p w:rsidR="007B3B3F" w:rsidRPr="00BA614F" w:rsidRDefault="007B3B3F" w:rsidP="007B3B3F">
      <w:pPr>
        <w:numPr>
          <w:ilvl w:val="0"/>
          <w:numId w:val="1"/>
        </w:numPr>
        <w:spacing w:before="100" w:beforeAutospacing="1" w:after="100" w:afterAutospacing="1" w:line="240" w:lineRule="auto"/>
        <w:rPr>
          <w:rFonts w:eastAsia="Times New Roman" w:cstheme="minorHAnsi"/>
        </w:rPr>
      </w:pPr>
      <w:r w:rsidRPr="00BA614F">
        <w:rPr>
          <w:rFonts w:eastAsia="Times New Roman" w:cstheme="minorHAnsi"/>
        </w:rPr>
        <w:lastRenderedPageBreak/>
        <w:t>persoanele fizice și juridice care au calitatea de angajatori, precum și entitățile asimilate angajatorului, care au calitatea de plătitori de venituri din activități dependente, instituțiile publice care calculează, rețin, plătesc și suportă contribuții sociale obligatorii în numele asiguratului, precum și orice plătitor de venituri de natură salarială sau asimilate salariilor.</w:t>
      </w:r>
    </w:p>
    <w:p w:rsidR="007B3B3F" w:rsidRPr="00BA614F" w:rsidRDefault="007B3B3F" w:rsidP="007B3B3F">
      <w:pPr>
        <w:spacing w:before="390" w:after="390" w:line="240" w:lineRule="auto"/>
        <w:rPr>
          <w:rFonts w:eastAsia="Times New Roman" w:cstheme="minorHAnsi"/>
        </w:rPr>
      </w:pPr>
      <w:r w:rsidRPr="00BA614F">
        <w:rPr>
          <w:rFonts w:eastAsia="Times New Roman" w:cstheme="minorHAnsi"/>
          <w:b/>
          <w:bCs/>
        </w:rPr>
        <w:t>Declaraţia privind veniturile sub formă de salarii din străinătate obţinute de către persoanele fizice care desfăşoară activitate în România şi de către persoanele fizice române angajate ale misiunilor diplomatice şi posturilor consulare acreditate în România pentru luna precedentă, Formularul 224</w:t>
      </w:r>
      <w:r w:rsidRPr="00BA614F">
        <w:rPr>
          <w:rFonts w:eastAsia="Times New Roman" w:cstheme="minorHAnsi"/>
        </w:rPr>
        <w:t>. Se depune de către persoanele fizice care obţin salarii din străinătate pentru activităţi în România şi persoanele fizice române angajate ale misiunilor diplomatice şi posturilor consulare acreditate în România.</w:t>
      </w:r>
    </w:p>
    <w:p w:rsidR="007B3B3F" w:rsidRPr="00BA614F" w:rsidRDefault="007B3B3F" w:rsidP="007B3B3F">
      <w:pPr>
        <w:spacing w:before="390" w:after="390" w:line="240" w:lineRule="auto"/>
        <w:rPr>
          <w:rFonts w:eastAsia="Times New Roman" w:cstheme="minorHAnsi"/>
        </w:rPr>
      </w:pPr>
      <w:r w:rsidRPr="00BA614F">
        <w:rPr>
          <w:rFonts w:eastAsia="Times New Roman" w:cstheme="minorHAnsi"/>
          <w:b/>
          <w:bCs/>
        </w:rPr>
        <w:t>Decontul de taxă pe valoarea adăugată, Formularul 300</w:t>
      </w:r>
      <w:r w:rsidRPr="00BA614F">
        <w:rPr>
          <w:rFonts w:eastAsia="Times New Roman" w:cstheme="minorHAnsi"/>
        </w:rPr>
        <w:t>. Se depune lunar, trimestrial, semestrial sau anual de persoanele impozabile înregistrate în scopuri de TVA conform art. 316 din noul Cod fiscal. Formularul se completează electronic cu ajutorul </w:t>
      </w:r>
      <w:hyperlink r:id="rId7" w:tgtFrame="_blank" w:history="1">
        <w:r w:rsidRPr="00BA614F">
          <w:rPr>
            <w:rFonts w:eastAsia="Times New Roman" w:cstheme="minorHAnsi"/>
            <w:u w:val="single"/>
          </w:rPr>
          <w:t>programului ANAF</w:t>
        </w:r>
      </w:hyperlink>
      <w:r w:rsidRPr="00BA614F">
        <w:rPr>
          <w:rFonts w:eastAsia="Times New Roman" w:cstheme="minorHAnsi"/>
        </w:rPr>
        <w:t>.</w:t>
      </w:r>
    </w:p>
    <w:p w:rsidR="007B3B3F" w:rsidRPr="00BA614F" w:rsidRDefault="007B3B3F" w:rsidP="007B3B3F">
      <w:pPr>
        <w:spacing w:before="390" w:after="390" w:line="240" w:lineRule="auto"/>
        <w:rPr>
          <w:rFonts w:eastAsia="Times New Roman" w:cstheme="minorHAnsi"/>
        </w:rPr>
      </w:pPr>
      <w:r w:rsidRPr="00BA614F">
        <w:rPr>
          <w:rFonts w:eastAsia="Times New Roman" w:cstheme="minorHAnsi"/>
          <w:b/>
          <w:bCs/>
        </w:rPr>
        <w:t>Decontul special de taxă pe valoarea adăugată pentru luna precedentă, Formularul 301</w:t>
      </w:r>
      <w:r w:rsidRPr="00BA614F">
        <w:rPr>
          <w:rFonts w:eastAsia="Times New Roman" w:cstheme="minorHAnsi"/>
        </w:rPr>
        <w:t>. Se completează de persoanele menționate în instrucțiunile de completare a formularului, pentru fiecare secțiune şi se întocmeşte în două exemplare, semnate şi ştampilate. Formularul se completează cu ajutorul </w:t>
      </w:r>
      <w:hyperlink r:id="rId8" w:tgtFrame="_blank" w:history="1">
        <w:r w:rsidRPr="00BA614F">
          <w:rPr>
            <w:rFonts w:eastAsia="Times New Roman" w:cstheme="minorHAnsi"/>
            <w:u w:val="single"/>
          </w:rPr>
          <w:t>programului de asistenţă</w:t>
        </w:r>
      </w:hyperlink>
      <w:r w:rsidRPr="00BA614F">
        <w:rPr>
          <w:rFonts w:eastAsia="Times New Roman" w:cstheme="minorHAnsi"/>
        </w:rPr>
        <w:t xml:space="preserve"> pus la dispoziţie de MFP.</w:t>
      </w:r>
    </w:p>
    <w:p w:rsidR="007B3B3F" w:rsidRPr="00BA614F" w:rsidRDefault="007B3B3F" w:rsidP="007B3B3F">
      <w:pPr>
        <w:spacing w:before="390" w:after="390" w:line="240" w:lineRule="auto"/>
        <w:rPr>
          <w:rFonts w:eastAsia="Times New Roman" w:cstheme="minorHAnsi"/>
        </w:rPr>
      </w:pPr>
      <w:r w:rsidRPr="00BA614F">
        <w:rPr>
          <w:rFonts w:eastAsia="Times New Roman" w:cstheme="minorHAnsi"/>
          <w:b/>
          <w:bCs/>
        </w:rPr>
        <w:t>Declarația privind sumele rezultate din ajustarea taxei pe valoarea adăugată, Formularul 307</w:t>
      </w:r>
      <w:r w:rsidRPr="00BA614F">
        <w:rPr>
          <w:rFonts w:eastAsia="Times New Roman" w:cstheme="minorHAnsi"/>
        </w:rPr>
        <w:t>. Se depune de persoanele impozabile prevăzute la art. 280 alin. (6), art. 270 alin. (7), art.310 alin. (7), art.316 alin. (11) lit. a) - e) și g) din noul Cod fiscal. Declaraţia se depune la organul fiscal în a cărui evidenţă persoana impozabilă este înregistrată ca plătitor de impozite şi taxe, direct sau prin împuternicit, la registratură sau la poştă, prin scrisoare recomandată.</w:t>
      </w:r>
    </w:p>
    <w:p w:rsidR="007B3B3F" w:rsidRPr="00BA614F" w:rsidRDefault="007B3B3F" w:rsidP="007B3B3F">
      <w:pPr>
        <w:spacing w:before="390" w:after="390" w:line="240" w:lineRule="auto"/>
        <w:rPr>
          <w:rFonts w:eastAsia="Times New Roman" w:cstheme="minorHAnsi"/>
        </w:rPr>
      </w:pPr>
      <w:r w:rsidRPr="00BA614F">
        <w:rPr>
          <w:rFonts w:eastAsia="Times New Roman" w:cstheme="minorHAnsi"/>
          <w:b/>
          <w:bCs/>
        </w:rPr>
        <w:t>Declarația privind taxa pe valoarea adăugată colectată datorată de către persoanele impozabile al căror cod de înregistrare în scopuri de taxă pe valoarea adăugată a fost anulat conform art. 316 alin. (11) lit. a) - e), lit. g) sau lit.h) din Codul fiscal, Formularul 311</w:t>
      </w:r>
      <w:r w:rsidRPr="00BA614F">
        <w:rPr>
          <w:rFonts w:eastAsia="Times New Roman" w:cstheme="minorHAnsi"/>
        </w:rPr>
        <w:t>. Se depune de persoanele impozabile al căror cod de TVA a fost anulat conform art. 316 alin. (11) lit. a) - e), lit. g) sau lit. h) din Codul fiscal și care efectuează în perioada în care nu au cod valid de TVA, livrări și/sau achiziții /prestări de bunuri/ servicii care sunt obligate la plata TVA. Declaraţia se depune, la organul fiscal în a cărui rază teritorială persoana impozabilă îşi are domiciliul fiscal sau în a cărui evidenţă aceasta se află înregistrată ca plătitor de impozite şi taxe.</w:t>
      </w:r>
    </w:p>
    <w:p w:rsidR="007B3B3F" w:rsidRPr="00BA614F" w:rsidRDefault="007B3B3F" w:rsidP="007B3B3F">
      <w:pPr>
        <w:spacing w:before="390" w:after="390" w:line="240" w:lineRule="auto"/>
        <w:rPr>
          <w:rFonts w:eastAsia="Times New Roman" w:cstheme="minorHAnsi"/>
        </w:rPr>
      </w:pPr>
      <w:r w:rsidRPr="00BA614F">
        <w:rPr>
          <w:rFonts w:eastAsia="Times New Roman" w:cstheme="minorHAnsi"/>
          <w:b/>
          <w:bCs/>
        </w:rPr>
        <w:t>Declarația recapitulativă privind livrările/achizițiile/prestările intracomunitare de bunuri pentru luna trecută, Formular 390 VIES</w:t>
      </w:r>
      <w:r w:rsidRPr="00BA614F">
        <w:rPr>
          <w:rFonts w:eastAsia="Times New Roman" w:cstheme="minorHAnsi"/>
        </w:rPr>
        <w:t>. Se depune de către contribuabilii înregistrați în scopuri de TVA conform art. 316 sau art. 317 din Codul fiscal. Declaraţiile recapitulative se depun lunar numai pentru perioadele în care ia naştere exigibilitatea taxei pentru operaţiunile menţionate la art. 325 alin. (1) din Legea nr. 227/2015 privind codul fiscal, până la data de 25 inclusiv a lunii următoare acesteia.</w:t>
      </w:r>
    </w:p>
    <w:p w:rsidR="007B3B3F" w:rsidRPr="00BA614F" w:rsidRDefault="007B3B3F" w:rsidP="007B3B3F">
      <w:pPr>
        <w:pStyle w:val="Heading2"/>
        <w:spacing w:before="375" w:beforeAutospacing="0" w:after="188" w:afterAutospacing="0"/>
        <w:rPr>
          <w:rFonts w:asciiTheme="minorHAnsi" w:hAnsiTheme="minorHAnsi" w:cstheme="minorHAnsi"/>
          <w:bCs w:val="0"/>
          <w:i/>
          <w:sz w:val="22"/>
          <w:szCs w:val="22"/>
        </w:rPr>
      </w:pPr>
      <w:r w:rsidRPr="00BA614F">
        <w:rPr>
          <w:rFonts w:asciiTheme="minorHAnsi" w:hAnsiTheme="minorHAnsi" w:cstheme="minorHAnsi"/>
          <w:bCs w:val="0"/>
          <w:i/>
          <w:sz w:val="22"/>
          <w:szCs w:val="22"/>
        </w:rPr>
        <w:t>Taxele și impozite</w:t>
      </w:r>
      <w:r w:rsidR="00BA614F" w:rsidRPr="00BA614F">
        <w:rPr>
          <w:rFonts w:asciiTheme="minorHAnsi" w:hAnsiTheme="minorHAnsi" w:cstheme="minorHAnsi"/>
          <w:bCs w:val="0"/>
          <w:i/>
          <w:sz w:val="22"/>
          <w:szCs w:val="22"/>
        </w:rPr>
        <w:t>le ce trebuie plătite până pe 26</w:t>
      </w:r>
      <w:r w:rsidRPr="00BA614F">
        <w:rPr>
          <w:rFonts w:asciiTheme="minorHAnsi" w:hAnsiTheme="minorHAnsi" w:cstheme="minorHAnsi"/>
          <w:bCs w:val="0"/>
          <w:i/>
          <w:sz w:val="22"/>
          <w:szCs w:val="22"/>
        </w:rPr>
        <w:t xml:space="preserve"> </w:t>
      </w:r>
      <w:r w:rsidR="00DD3DB4">
        <w:rPr>
          <w:rFonts w:asciiTheme="minorHAnsi" w:hAnsiTheme="minorHAnsi" w:cstheme="minorHAnsi"/>
          <w:bCs w:val="0"/>
          <w:i/>
          <w:sz w:val="22"/>
          <w:szCs w:val="22"/>
        </w:rPr>
        <w:t>martie</w:t>
      </w:r>
      <w:r w:rsidRPr="00BA614F">
        <w:rPr>
          <w:rFonts w:asciiTheme="minorHAnsi" w:hAnsiTheme="minorHAnsi" w:cstheme="minorHAnsi"/>
          <w:bCs w:val="0"/>
          <w:i/>
          <w:sz w:val="22"/>
          <w:szCs w:val="22"/>
        </w:rPr>
        <w:t>, inclusiv</w:t>
      </w:r>
    </w:p>
    <w:p w:rsidR="00962D2E" w:rsidRDefault="007B3B3F" w:rsidP="00E31988">
      <w:pPr>
        <w:spacing w:before="390" w:after="390" w:line="240" w:lineRule="auto"/>
        <w:rPr>
          <w:rFonts w:eastAsia="Times New Roman" w:cstheme="minorHAnsi"/>
        </w:rPr>
      </w:pPr>
      <w:r w:rsidRPr="00BA614F">
        <w:rPr>
          <w:rFonts w:eastAsia="Times New Roman" w:cstheme="minorHAnsi"/>
        </w:rPr>
        <w:lastRenderedPageBreak/>
        <w:t>Conform calendarului fiscal pus la dispoziția c</w:t>
      </w:r>
      <w:r w:rsidR="00E31988">
        <w:rPr>
          <w:rFonts w:eastAsia="Times New Roman" w:cstheme="minorHAnsi"/>
        </w:rPr>
        <w:t xml:space="preserve">ontribuabililor de ANAF, 26 </w:t>
      </w:r>
      <w:r w:rsidR="00962D2E">
        <w:rPr>
          <w:rFonts w:eastAsia="Times New Roman" w:cstheme="minorHAnsi"/>
        </w:rPr>
        <w:t>martie</w:t>
      </w:r>
      <w:r w:rsidR="00E31988">
        <w:rPr>
          <w:rFonts w:eastAsia="Times New Roman" w:cstheme="minorHAnsi"/>
        </w:rPr>
        <w:t xml:space="preserve"> </w:t>
      </w:r>
      <w:r w:rsidRPr="00BA614F">
        <w:rPr>
          <w:rFonts w:eastAsia="Times New Roman" w:cstheme="minorHAnsi"/>
        </w:rPr>
        <w:t>va fi termenul-limită pentru următoarele taxe și impozite:</w:t>
      </w:r>
    </w:p>
    <w:p w:rsidR="00E31988" w:rsidRDefault="007B3B3F" w:rsidP="00E31988">
      <w:pPr>
        <w:spacing w:before="390" w:after="390" w:line="240" w:lineRule="auto"/>
        <w:rPr>
          <w:rFonts w:eastAsia="Times New Roman" w:cstheme="minorHAnsi"/>
        </w:rPr>
      </w:pPr>
      <w:r w:rsidRPr="00BA614F">
        <w:rPr>
          <w:rFonts w:eastAsia="Times New Roman" w:cstheme="minorHAnsi"/>
          <w:b/>
          <w:bCs/>
        </w:rPr>
        <w:t>Plata impozitului reținut la sursă în luna precedentă</w:t>
      </w:r>
      <w:r w:rsidRPr="00BA614F">
        <w:rPr>
          <w:rFonts w:eastAsia="Times New Roman" w:cstheme="minorHAnsi"/>
        </w:rPr>
        <w:t> - se plătește de către contribuabilii care obțin venituri din drepturi de proprietate intelectuală, din premii și jocuri de noroc, obținute de nerezidenți sau din alte surse;</w:t>
      </w:r>
    </w:p>
    <w:p w:rsidR="00962D2E" w:rsidRDefault="00962D2E" w:rsidP="00E31988">
      <w:pPr>
        <w:spacing w:before="390" w:after="390" w:line="240" w:lineRule="auto"/>
        <w:rPr>
          <w:rFonts w:eastAsia="Times New Roman" w:cstheme="minorHAnsi"/>
        </w:rPr>
      </w:pPr>
      <w:r w:rsidRPr="00962D2E">
        <w:rPr>
          <w:rFonts w:eastAsia="Times New Roman" w:cstheme="minorHAnsi"/>
          <w:b/>
        </w:rPr>
        <w:t>Plata contribuției de asigurări sociale de sănătate, aferentă trimestrului I 2018.</w:t>
      </w:r>
      <w:r w:rsidRPr="00962D2E">
        <w:rPr>
          <w:rFonts w:eastAsia="Times New Roman" w:cstheme="minorHAnsi"/>
        </w:rPr>
        <w:t xml:space="preserve"> Se plătește de către persoanele fizice care realizează venituri din activități independente, care determină venitul net anual în sistem real și/sau pe baza normelor anuale de venit.</w:t>
      </w:r>
    </w:p>
    <w:p w:rsidR="007B3B3F" w:rsidRPr="00BA614F" w:rsidRDefault="007B3B3F" w:rsidP="00E31988">
      <w:pPr>
        <w:spacing w:before="390" w:after="390" w:line="240" w:lineRule="auto"/>
        <w:rPr>
          <w:rFonts w:eastAsia="Times New Roman" w:cstheme="minorHAnsi"/>
        </w:rPr>
      </w:pPr>
      <w:r w:rsidRPr="00BA614F">
        <w:rPr>
          <w:rFonts w:eastAsia="Times New Roman" w:cstheme="minorHAnsi"/>
          <w:b/>
          <w:bCs/>
        </w:rPr>
        <w:t>Plata taxei anuale pentru autorizația de exploatare a jocurilor de noroc</w:t>
      </w:r>
      <w:r w:rsidR="00E31988">
        <w:rPr>
          <w:rFonts w:eastAsia="Times New Roman" w:cstheme="minorHAnsi"/>
          <w:b/>
          <w:bCs/>
        </w:rPr>
        <w:t xml:space="preserve"> </w:t>
      </w:r>
      <w:r w:rsidRPr="00BA614F">
        <w:rPr>
          <w:rFonts w:eastAsia="Times New Roman" w:cstheme="minorHAnsi"/>
        </w:rPr>
        <w:t>(sumele care rezultă din aplicarea procentelor prevăzute în anexă la veniturile estimate de operatorul economic, dar nu mai puțin decât taxa anuală minimală - până la data de 25 inclusiv a lunii următoare celei în care documentația a fost aprobată; în cazul în care, în cursul anului de autorizare, încasările efective depășesc încasările estimate prin documentația prezentată la data autorizării, taxa se va recalcula prin aplicarea cotei procentuale asupra încasărilor efective cumulate de la începutul perioadei de autorizare. Recalcularea se va efectua lunar, începând cu prima lună în care se înregistrează depășirea rezultatelor estimate. Încasările efective cumulate și taxa plătită de la începutul perioadei de autorizare până la finele lunii precedente celei pentru care se face regularizarea se va declara și plăti până la data de 25 a lunii următoare).</w:t>
      </w:r>
      <w:r w:rsidR="00962D2E">
        <w:rPr>
          <w:rFonts w:eastAsia="Times New Roman" w:cstheme="minorHAnsi"/>
        </w:rPr>
        <w:t xml:space="preserve"> </w:t>
      </w:r>
      <w:r w:rsidRPr="00BA614F">
        <w:rPr>
          <w:rFonts w:eastAsia="Times New Roman" w:cstheme="minorHAnsi"/>
        </w:rPr>
        <w:t>Se plătește de către organizatorii de jocuri de tip pariu, jocuri de noroc, bingo organizate prin TV, pariuri on-line, jocuri bingo prin internet, sisteme de telefonie fixă sau mobilă, jocuri de noroc on-line;</w:t>
      </w:r>
    </w:p>
    <w:p w:rsidR="007B3B3F" w:rsidRPr="00BA614F" w:rsidRDefault="007B3B3F" w:rsidP="007B3B3F">
      <w:pPr>
        <w:numPr>
          <w:ilvl w:val="0"/>
          <w:numId w:val="2"/>
        </w:numPr>
        <w:spacing w:before="100" w:beforeAutospacing="1" w:after="100" w:afterAutospacing="1" w:line="240" w:lineRule="auto"/>
        <w:ind w:left="0"/>
        <w:rPr>
          <w:rFonts w:eastAsia="Times New Roman" w:cstheme="minorHAnsi"/>
        </w:rPr>
      </w:pPr>
      <w:r w:rsidRPr="00BA614F">
        <w:rPr>
          <w:rFonts w:eastAsia="Times New Roman" w:cstheme="minorHAnsi"/>
        </w:rPr>
        <w:t>Accize;</w:t>
      </w:r>
    </w:p>
    <w:p w:rsidR="007B3B3F" w:rsidRPr="00BA614F" w:rsidRDefault="007B3B3F" w:rsidP="007B3B3F">
      <w:pPr>
        <w:numPr>
          <w:ilvl w:val="0"/>
          <w:numId w:val="2"/>
        </w:numPr>
        <w:spacing w:before="100" w:beforeAutospacing="1" w:after="100" w:afterAutospacing="1" w:line="240" w:lineRule="auto"/>
        <w:ind w:left="0"/>
        <w:rPr>
          <w:rFonts w:eastAsia="Times New Roman" w:cstheme="minorHAnsi"/>
        </w:rPr>
      </w:pPr>
      <w:r w:rsidRPr="00BA614F">
        <w:rPr>
          <w:rFonts w:eastAsia="Times New Roman" w:cstheme="minorHAnsi"/>
        </w:rPr>
        <w:t>TVA;</w:t>
      </w:r>
    </w:p>
    <w:p w:rsidR="007B3B3F" w:rsidRPr="00BA614F" w:rsidRDefault="007B3B3F" w:rsidP="007B3B3F">
      <w:pPr>
        <w:numPr>
          <w:ilvl w:val="0"/>
          <w:numId w:val="2"/>
        </w:numPr>
        <w:spacing w:before="100" w:beforeAutospacing="1" w:after="100" w:afterAutospacing="1" w:line="240" w:lineRule="auto"/>
        <w:ind w:left="0"/>
        <w:rPr>
          <w:rFonts w:eastAsia="Times New Roman" w:cstheme="minorHAnsi"/>
        </w:rPr>
      </w:pPr>
      <w:r w:rsidRPr="00BA614F">
        <w:rPr>
          <w:rFonts w:eastAsia="Times New Roman" w:cstheme="minorHAnsi"/>
        </w:rPr>
        <w:t>Impozite datorate bugetului de stat:</w:t>
      </w:r>
    </w:p>
    <w:p w:rsidR="007B3B3F" w:rsidRPr="00BA614F" w:rsidRDefault="007B3B3F" w:rsidP="007B3B3F">
      <w:pPr>
        <w:numPr>
          <w:ilvl w:val="2"/>
          <w:numId w:val="2"/>
        </w:numPr>
        <w:spacing w:before="100" w:beforeAutospacing="1" w:after="100" w:afterAutospacing="1" w:line="240" w:lineRule="auto"/>
        <w:rPr>
          <w:rFonts w:eastAsia="Times New Roman" w:cstheme="minorHAnsi"/>
        </w:rPr>
      </w:pPr>
      <w:r w:rsidRPr="00BA614F">
        <w:rPr>
          <w:rFonts w:eastAsia="Times New Roman" w:cstheme="minorHAnsi"/>
        </w:rPr>
        <w:t>Impozit pe țițeiul și gazele naturale din producția internă;</w:t>
      </w:r>
    </w:p>
    <w:p w:rsidR="007B3B3F" w:rsidRPr="00BA614F" w:rsidRDefault="007B3B3F" w:rsidP="007B3B3F">
      <w:pPr>
        <w:numPr>
          <w:ilvl w:val="2"/>
          <w:numId w:val="2"/>
        </w:numPr>
        <w:spacing w:before="100" w:beforeAutospacing="1" w:after="100" w:afterAutospacing="1" w:line="240" w:lineRule="auto"/>
        <w:rPr>
          <w:rFonts w:eastAsia="Times New Roman" w:cstheme="minorHAnsi"/>
        </w:rPr>
      </w:pPr>
      <w:r w:rsidRPr="00BA614F">
        <w:rPr>
          <w:rFonts w:eastAsia="Times New Roman" w:cstheme="minorHAnsi"/>
        </w:rPr>
        <w:t>Impozit pe veniturile nerezidenților;</w:t>
      </w:r>
    </w:p>
    <w:p w:rsidR="007B3B3F" w:rsidRPr="00BA614F" w:rsidRDefault="007B3B3F" w:rsidP="007B3B3F">
      <w:pPr>
        <w:numPr>
          <w:ilvl w:val="2"/>
          <w:numId w:val="2"/>
        </w:numPr>
        <w:spacing w:before="100" w:beforeAutospacing="1" w:after="100" w:afterAutospacing="1" w:line="240" w:lineRule="auto"/>
        <w:rPr>
          <w:rFonts w:eastAsia="Times New Roman" w:cstheme="minorHAnsi"/>
        </w:rPr>
      </w:pPr>
      <w:r w:rsidRPr="00BA614F">
        <w:rPr>
          <w:rFonts w:eastAsia="Times New Roman" w:cstheme="minorHAnsi"/>
        </w:rPr>
        <w:t>Impozit pe salarii (OP separat pentru Sediu Social și fiecare sediu secundar, dacă este cazul);</w:t>
      </w:r>
    </w:p>
    <w:p w:rsidR="007B3B3F" w:rsidRPr="00BA614F" w:rsidRDefault="007B3B3F" w:rsidP="007B3B3F">
      <w:pPr>
        <w:numPr>
          <w:ilvl w:val="2"/>
          <w:numId w:val="2"/>
        </w:numPr>
        <w:spacing w:before="100" w:beforeAutospacing="1" w:after="100" w:afterAutospacing="1" w:line="240" w:lineRule="auto"/>
        <w:rPr>
          <w:rFonts w:eastAsia="Times New Roman" w:cstheme="minorHAnsi"/>
        </w:rPr>
      </w:pPr>
      <w:r w:rsidRPr="00BA614F">
        <w:rPr>
          <w:rFonts w:eastAsia="Times New Roman" w:cstheme="minorHAnsi"/>
        </w:rPr>
        <w:t>Impozit pe veniturile din activități independente, cu regim de reținere la sursă;</w:t>
      </w:r>
    </w:p>
    <w:p w:rsidR="007B3B3F" w:rsidRPr="00BA614F" w:rsidRDefault="007B3B3F" w:rsidP="007B3B3F">
      <w:pPr>
        <w:numPr>
          <w:ilvl w:val="2"/>
          <w:numId w:val="2"/>
        </w:numPr>
        <w:spacing w:before="100" w:beforeAutospacing="1" w:after="100" w:afterAutospacing="1" w:line="240" w:lineRule="auto"/>
        <w:rPr>
          <w:rFonts w:eastAsia="Times New Roman" w:cstheme="minorHAnsi"/>
        </w:rPr>
      </w:pPr>
      <w:r w:rsidRPr="00BA614F">
        <w:rPr>
          <w:rFonts w:eastAsia="Times New Roman" w:cstheme="minorHAnsi"/>
        </w:rPr>
        <w:t>Impozit pe veniturile din dividende plătite în luna precedentă;</w:t>
      </w:r>
    </w:p>
    <w:p w:rsidR="007B3B3F" w:rsidRPr="00BA614F" w:rsidRDefault="007B3B3F" w:rsidP="007B3B3F">
      <w:pPr>
        <w:numPr>
          <w:ilvl w:val="2"/>
          <w:numId w:val="2"/>
        </w:numPr>
        <w:spacing w:before="100" w:beforeAutospacing="1" w:after="100" w:afterAutospacing="1" w:line="240" w:lineRule="auto"/>
        <w:rPr>
          <w:rFonts w:eastAsia="Times New Roman" w:cstheme="minorHAnsi"/>
        </w:rPr>
      </w:pPr>
      <w:r w:rsidRPr="00BA614F">
        <w:rPr>
          <w:rFonts w:eastAsia="Times New Roman" w:cstheme="minorHAnsi"/>
        </w:rPr>
        <w:t>Impozit pe veniturile din dobânzi;</w:t>
      </w:r>
    </w:p>
    <w:p w:rsidR="007B3B3F" w:rsidRPr="00BA614F" w:rsidRDefault="007B3B3F" w:rsidP="007B3B3F">
      <w:pPr>
        <w:numPr>
          <w:ilvl w:val="2"/>
          <w:numId w:val="2"/>
        </w:numPr>
        <w:spacing w:before="100" w:beforeAutospacing="1" w:after="100" w:afterAutospacing="1" w:line="240" w:lineRule="auto"/>
        <w:rPr>
          <w:rFonts w:eastAsia="Times New Roman" w:cstheme="minorHAnsi"/>
        </w:rPr>
      </w:pPr>
      <w:r w:rsidRPr="00BA614F">
        <w:rPr>
          <w:rFonts w:eastAsia="Times New Roman" w:cstheme="minorHAnsi"/>
        </w:rPr>
        <w:t>Impozit pe alte venituri din investiții;</w:t>
      </w:r>
    </w:p>
    <w:p w:rsidR="007B3B3F" w:rsidRPr="00BA614F" w:rsidRDefault="007B3B3F" w:rsidP="007B3B3F">
      <w:pPr>
        <w:numPr>
          <w:ilvl w:val="2"/>
          <w:numId w:val="2"/>
        </w:numPr>
        <w:spacing w:before="100" w:beforeAutospacing="1" w:after="100" w:afterAutospacing="1" w:line="240" w:lineRule="auto"/>
        <w:rPr>
          <w:rFonts w:eastAsia="Times New Roman" w:cstheme="minorHAnsi"/>
        </w:rPr>
      </w:pPr>
      <w:r w:rsidRPr="00BA614F">
        <w:rPr>
          <w:rFonts w:eastAsia="Times New Roman" w:cstheme="minorHAnsi"/>
        </w:rPr>
        <w:t>Impozit pe veniturile din pensii;</w:t>
      </w:r>
    </w:p>
    <w:p w:rsidR="007B3B3F" w:rsidRPr="00BA614F" w:rsidRDefault="007B3B3F" w:rsidP="007B3B3F">
      <w:pPr>
        <w:numPr>
          <w:ilvl w:val="2"/>
          <w:numId w:val="2"/>
        </w:numPr>
        <w:spacing w:before="100" w:beforeAutospacing="1" w:after="100" w:afterAutospacing="1" w:line="240" w:lineRule="auto"/>
        <w:rPr>
          <w:rFonts w:eastAsia="Times New Roman" w:cstheme="minorHAnsi"/>
        </w:rPr>
      </w:pPr>
      <w:r w:rsidRPr="00BA614F">
        <w:rPr>
          <w:rFonts w:eastAsia="Times New Roman" w:cstheme="minorHAnsi"/>
        </w:rPr>
        <w:t>Impozit pe veniturile din premii și din jocuri de noroc;</w:t>
      </w:r>
    </w:p>
    <w:p w:rsidR="00DD3DB4" w:rsidRDefault="007B3B3F" w:rsidP="00DD3DB4">
      <w:pPr>
        <w:numPr>
          <w:ilvl w:val="2"/>
          <w:numId w:val="2"/>
        </w:numPr>
        <w:spacing w:before="100" w:beforeAutospacing="1" w:after="100" w:afterAutospacing="1" w:line="240" w:lineRule="auto"/>
        <w:rPr>
          <w:rFonts w:eastAsia="Times New Roman" w:cstheme="minorHAnsi"/>
        </w:rPr>
      </w:pPr>
      <w:r w:rsidRPr="00BA614F">
        <w:rPr>
          <w:rFonts w:eastAsia="Times New Roman" w:cstheme="minorHAnsi"/>
        </w:rPr>
        <w:t>Impozit pe veniturile din alte surse.</w:t>
      </w:r>
    </w:p>
    <w:p w:rsidR="007B3B3F" w:rsidRPr="00DD3DB4" w:rsidRDefault="00DD3DB4" w:rsidP="00DD3DB4">
      <w:pPr>
        <w:spacing w:before="100" w:beforeAutospacing="1" w:after="100" w:afterAutospacing="1" w:line="240" w:lineRule="auto"/>
        <w:rPr>
          <w:rFonts w:eastAsia="Times New Roman" w:cstheme="minorHAnsi"/>
        </w:rPr>
      </w:pPr>
      <w:r w:rsidRPr="00DD3DB4">
        <w:rPr>
          <w:rFonts w:eastAsia="Times New Roman" w:cstheme="minorHAnsi"/>
          <w:b/>
          <w:i/>
        </w:rPr>
        <w:t>Formularele scadente în 30 martie</w:t>
      </w:r>
    </w:p>
    <w:p w:rsidR="00E31988" w:rsidRDefault="00BA614F" w:rsidP="00E31988">
      <w:pPr>
        <w:spacing w:before="100" w:beforeAutospacing="1" w:after="100" w:afterAutospacing="1" w:line="240" w:lineRule="auto"/>
        <w:ind w:left="-360"/>
        <w:rPr>
          <w:rFonts w:eastAsia="Times New Roman" w:cstheme="minorHAnsi"/>
        </w:rPr>
      </w:pPr>
      <w:r w:rsidRPr="00BA614F">
        <w:rPr>
          <w:rFonts w:cstheme="minorHAnsi"/>
          <w:b/>
          <w:shd w:val="clear" w:color="auto" w:fill="FFFFFF"/>
        </w:rPr>
        <w:t>Declaraţia informativă privind livrările/prestările și achizițiile efectuate pe teritoriul național aferente perioadei de raportare precedente, </w:t>
      </w:r>
      <w:r>
        <w:rPr>
          <w:rStyle w:val="Strong"/>
          <w:rFonts w:cstheme="minorHAnsi"/>
          <w:shd w:val="clear" w:color="auto" w:fill="FFFFFF"/>
        </w:rPr>
        <w:t>F</w:t>
      </w:r>
      <w:r w:rsidRPr="00BA614F">
        <w:rPr>
          <w:rStyle w:val="Strong"/>
          <w:rFonts w:cstheme="minorHAnsi"/>
          <w:shd w:val="clear" w:color="auto" w:fill="FFFFFF"/>
        </w:rPr>
        <w:t>ormularul 394</w:t>
      </w:r>
      <w:r w:rsidRPr="00BA614F">
        <w:rPr>
          <w:rFonts w:cstheme="minorHAnsi"/>
          <w:shd w:val="clear" w:color="auto" w:fill="FFFFFF"/>
        </w:rPr>
        <w:t xml:space="preserve">, aferentă lunii </w:t>
      </w:r>
      <w:r w:rsidR="00DD3DB4">
        <w:rPr>
          <w:rFonts w:cstheme="minorHAnsi"/>
          <w:shd w:val="clear" w:color="auto" w:fill="FFFFFF"/>
        </w:rPr>
        <w:t>februarie</w:t>
      </w:r>
      <w:r w:rsidRPr="00BA614F">
        <w:rPr>
          <w:rFonts w:cstheme="minorHAnsi"/>
          <w:shd w:val="clear" w:color="auto" w:fill="FFFFFF"/>
        </w:rPr>
        <w:t xml:space="preserve"> 2018, </w:t>
      </w:r>
      <w:r w:rsidR="00DD3DB4">
        <w:rPr>
          <w:rFonts w:cstheme="minorHAnsi"/>
          <w:shd w:val="clear" w:color="auto" w:fill="FFFFFF"/>
        </w:rPr>
        <w:t>va avea termenul-limită în penultima zi din luna martie.</w:t>
      </w:r>
    </w:p>
    <w:p w:rsidR="00BA614F" w:rsidRPr="00BA614F" w:rsidRDefault="00BA614F" w:rsidP="00E31988">
      <w:pPr>
        <w:spacing w:before="100" w:beforeAutospacing="1" w:after="100" w:afterAutospacing="1" w:line="240" w:lineRule="auto"/>
        <w:ind w:left="-360"/>
        <w:rPr>
          <w:rFonts w:eastAsia="Times New Roman" w:cstheme="minorHAnsi"/>
        </w:rPr>
      </w:pPr>
      <w:r w:rsidRPr="00BA614F">
        <w:rPr>
          <w:rFonts w:eastAsia="Times New Roman" w:cstheme="minorHAnsi"/>
        </w:rPr>
        <w:lastRenderedPageBreak/>
        <w:t xml:space="preserve">În noul format al formularului 394 trebuie cuprinse toate operaţiunile de livrări sau achiziţii de bunuri efectuate către, dar şi de la contribuabili, fie ei plătitori sau neplătitori de TVA (persoane fizice şi persoane juridice). Documentul trebuie transmis chiar dacă în luna </w:t>
      </w:r>
      <w:r w:rsidR="00DD3DB4">
        <w:rPr>
          <w:rFonts w:eastAsia="Times New Roman" w:cstheme="minorHAnsi"/>
        </w:rPr>
        <w:t>anterioară</w:t>
      </w:r>
      <w:r w:rsidRPr="00BA614F">
        <w:rPr>
          <w:rFonts w:eastAsia="Times New Roman" w:cstheme="minorHAnsi"/>
        </w:rPr>
        <w:t xml:space="preserve"> nu au fost realizate operaţiuni de natura celor care fac obiectul declaraţiei. Obligaţia transmiterii formularului revine:</w:t>
      </w:r>
    </w:p>
    <w:p w:rsidR="00BA614F" w:rsidRPr="00BA614F" w:rsidRDefault="00BA614F" w:rsidP="00BA614F">
      <w:pPr>
        <w:numPr>
          <w:ilvl w:val="0"/>
          <w:numId w:val="4"/>
        </w:numPr>
        <w:spacing w:before="100" w:beforeAutospacing="1" w:after="100" w:afterAutospacing="1" w:line="240" w:lineRule="auto"/>
        <w:ind w:left="0"/>
        <w:rPr>
          <w:rFonts w:eastAsia="Times New Roman" w:cstheme="minorHAnsi"/>
        </w:rPr>
      </w:pPr>
      <w:r w:rsidRPr="00BA614F">
        <w:rPr>
          <w:rFonts w:eastAsia="Times New Roman" w:cstheme="minorHAnsi"/>
        </w:rPr>
        <w:t xml:space="preserve">persoanelor impozabile înregistrate în scopuri de TVA în România, conform art. 316 din Codul fiscal, obligate la plata taxei conform art. 307 alin. (1), (2), (6) și (7) din Codul fiscal, pentru operațiuni impozabile în România conform art. 268 </w:t>
      </w:r>
      <w:proofErr w:type="gramStart"/>
      <w:r w:rsidRPr="00BA614F">
        <w:rPr>
          <w:rFonts w:eastAsia="Times New Roman" w:cstheme="minorHAnsi"/>
        </w:rPr>
        <w:t>alin.(</w:t>
      </w:r>
      <w:proofErr w:type="gramEnd"/>
      <w:r w:rsidRPr="00BA614F">
        <w:rPr>
          <w:rFonts w:eastAsia="Times New Roman" w:cstheme="minorHAnsi"/>
        </w:rPr>
        <w:t>1) din Codul fiscal;</w:t>
      </w:r>
    </w:p>
    <w:p w:rsidR="00BA614F" w:rsidRPr="00BA614F" w:rsidRDefault="00BA614F" w:rsidP="00BA614F">
      <w:pPr>
        <w:numPr>
          <w:ilvl w:val="0"/>
          <w:numId w:val="4"/>
        </w:numPr>
        <w:spacing w:before="100" w:beforeAutospacing="1" w:after="100" w:afterAutospacing="1" w:line="240" w:lineRule="auto"/>
        <w:ind w:left="0"/>
        <w:rPr>
          <w:rFonts w:eastAsia="Times New Roman" w:cstheme="minorHAnsi"/>
        </w:rPr>
      </w:pPr>
      <w:r w:rsidRPr="00BA614F">
        <w:rPr>
          <w:rFonts w:eastAsia="Times New Roman" w:cstheme="minorHAnsi"/>
        </w:rPr>
        <w:t>persoanelor impozabile înregistrate în scopuri de TVA în România, conform art. 316 din Codul fiscal, care realizează în România, de la persoanele impozabile înregistrate în scopuri de TVA în România, achiziții de bunuri sau servicii taxabile.</w:t>
      </w:r>
    </w:p>
    <w:p w:rsidR="00BA614F" w:rsidRPr="00BA614F" w:rsidRDefault="00BA614F" w:rsidP="00BA614F">
      <w:pPr>
        <w:spacing w:before="100" w:beforeAutospacing="1" w:after="100" w:afterAutospacing="1" w:line="240" w:lineRule="auto"/>
        <w:ind w:left="-360"/>
        <w:rPr>
          <w:rFonts w:eastAsia="Times New Roman" w:cstheme="minorHAnsi"/>
        </w:rPr>
      </w:pPr>
      <w:r w:rsidRPr="00BA614F">
        <w:rPr>
          <w:rFonts w:eastAsia="Times New Roman" w:cstheme="minorHAnsi"/>
        </w:rPr>
        <w:t xml:space="preserve">În fine, </w:t>
      </w:r>
      <w:r w:rsidR="00DD3DB4">
        <w:rPr>
          <w:rFonts w:eastAsia="Times New Roman" w:cstheme="minorHAnsi"/>
        </w:rPr>
        <w:t>30 martie</w:t>
      </w:r>
      <w:r w:rsidRPr="00BA614F">
        <w:rPr>
          <w:rFonts w:eastAsia="Times New Roman" w:cstheme="minorHAnsi"/>
        </w:rPr>
        <w:t xml:space="preserve"> 2018 va fi termenul-limită pentru depunerea </w:t>
      </w:r>
      <w:r w:rsidRPr="00BA614F">
        <w:rPr>
          <w:rFonts w:eastAsia="Times New Roman" w:cstheme="minorHAnsi"/>
          <w:b/>
        </w:rPr>
        <w:t>cererii de restituire a accizelor</w:t>
      </w:r>
      <w:r w:rsidRPr="00BA614F">
        <w:rPr>
          <w:rFonts w:eastAsia="Times New Roman" w:cstheme="minorHAnsi"/>
        </w:rPr>
        <w:t xml:space="preserve"> </w:t>
      </w:r>
      <w:r w:rsidR="00242CC5">
        <w:rPr>
          <w:rFonts w:eastAsia="Times New Roman" w:cstheme="minorHAnsi"/>
        </w:rPr>
        <w:t>în baza prevederilor art. 395 din Codul fiscal</w:t>
      </w:r>
      <w:r w:rsidRPr="00BA614F">
        <w:rPr>
          <w:rFonts w:eastAsia="Times New Roman" w:cstheme="minorHAnsi"/>
        </w:rPr>
        <w:t>. Aceasta se depune de către beneficiarii scutirilor de accize (instituții, organizații).</w:t>
      </w:r>
    </w:p>
    <w:p w:rsidR="00BA614F" w:rsidRPr="00BA614F" w:rsidRDefault="00BA614F" w:rsidP="00BA614F">
      <w:pPr>
        <w:spacing w:before="100" w:beforeAutospacing="1" w:after="100" w:afterAutospacing="1" w:line="240" w:lineRule="auto"/>
        <w:ind w:left="-360"/>
        <w:rPr>
          <w:rFonts w:eastAsia="Times New Roman" w:cstheme="minorHAnsi"/>
        </w:rPr>
      </w:pPr>
    </w:p>
    <w:p w:rsidR="007B3B3F" w:rsidRPr="00BA614F" w:rsidRDefault="007B3B3F" w:rsidP="007B3B3F">
      <w:pPr>
        <w:spacing w:before="100" w:beforeAutospacing="1" w:after="100" w:afterAutospacing="1" w:line="240" w:lineRule="auto"/>
        <w:rPr>
          <w:rFonts w:eastAsia="Times New Roman" w:cstheme="minorHAnsi"/>
        </w:rPr>
      </w:pPr>
    </w:p>
    <w:p w:rsidR="007B3B3F" w:rsidRPr="007B3B3F" w:rsidRDefault="007B3B3F" w:rsidP="007B3B3F">
      <w:pPr>
        <w:spacing w:before="100" w:beforeAutospacing="1" w:after="100" w:afterAutospacing="1" w:line="240" w:lineRule="auto"/>
        <w:rPr>
          <w:rFonts w:eastAsia="Times New Roman" w:cstheme="minorHAnsi"/>
        </w:rPr>
      </w:pPr>
    </w:p>
    <w:p w:rsidR="008F4B82" w:rsidRPr="00BA614F" w:rsidRDefault="008F4B82">
      <w:pPr>
        <w:rPr>
          <w:rFonts w:cstheme="minorHAnsi"/>
        </w:rPr>
      </w:pPr>
    </w:p>
    <w:sectPr w:rsidR="008F4B82" w:rsidRPr="00BA61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DC06EF"/>
    <w:multiLevelType w:val="multilevel"/>
    <w:tmpl w:val="7FA66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5D5364"/>
    <w:multiLevelType w:val="multilevel"/>
    <w:tmpl w:val="7FA66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D0138B"/>
    <w:multiLevelType w:val="multilevel"/>
    <w:tmpl w:val="7FA66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2C3DF4"/>
    <w:multiLevelType w:val="multilevel"/>
    <w:tmpl w:val="F1ECA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D11"/>
    <w:rsid w:val="00242CC5"/>
    <w:rsid w:val="00345D11"/>
    <w:rsid w:val="003E2B2A"/>
    <w:rsid w:val="007B3B3F"/>
    <w:rsid w:val="00832A41"/>
    <w:rsid w:val="008F4B82"/>
    <w:rsid w:val="00962D2E"/>
    <w:rsid w:val="00AD33F1"/>
    <w:rsid w:val="00BA614F"/>
    <w:rsid w:val="00DD3DB4"/>
    <w:rsid w:val="00E31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8845A"/>
  <w15:chartTrackingRefBased/>
  <w15:docId w15:val="{0ECD054E-CCE1-42E8-9A32-298284C79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B3B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B3B3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B3B3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B3B3F"/>
    <w:rPr>
      <w:b/>
      <w:bCs/>
    </w:rPr>
  </w:style>
  <w:style w:type="character" w:styleId="Hyperlink">
    <w:name w:val="Hyperlink"/>
    <w:basedOn w:val="DefaultParagraphFont"/>
    <w:uiPriority w:val="99"/>
    <w:unhideWhenUsed/>
    <w:rsid w:val="007B3B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847751">
      <w:bodyDiv w:val="1"/>
      <w:marLeft w:val="0"/>
      <w:marRight w:val="0"/>
      <w:marTop w:val="0"/>
      <w:marBottom w:val="0"/>
      <w:divBdr>
        <w:top w:val="none" w:sz="0" w:space="0" w:color="auto"/>
        <w:left w:val="none" w:sz="0" w:space="0" w:color="auto"/>
        <w:bottom w:val="none" w:sz="0" w:space="0" w:color="auto"/>
        <w:right w:val="none" w:sz="0" w:space="0" w:color="auto"/>
      </w:divBdr>
    </w:div>
    <w:div w:id="917132228">
      <w:bodyDiv w:val="1"/>
      <w:marLeft w:val="0"/>
      <w:marRight w:val="0"/>
      <w:marTop w:val="0"/>
      <w:marBottom w:val="0"/>
      <w:divBdr>
        <w:top w:val="none" w:sz="0" w:space="0" w:color="auto"/>
        <w:left w:val="none" w:sz="0" w:space="0" w:color="auto"/>
        <w:bottom w:val="none" w:sz="0" w:space="0" w:color="auto"/>
        <w:right w:val="none" w:sz="0" w:space="0" w:color="auto"/>
      </w:divBdr>
    </w:div>
    <w:div w:id="1290011937">
      <w:bodyDiv w:val="1"/>
      <w:marLeft w:val="0"/>
      <w:marRight w:val="0"/>
      <w:marTop w:val="0"/>
      <w:marBottom w:val="0"/>
      <w:divBdr>
        <w:top w:val="none" w:sz="0" w:space="0" w:color="auto"/>
        <w:left w:val="none" w:sz="0" w:space="0" w:color="auto"/>
        <w:bottom w:val="none" w:sz="0" w:space="0" w:color="auto"/>
        <w:right w:val="none" w:sz="0" w:space="0" w:color="auto"/>
      </w:divBdr>
    </w:div>
    <w:div w:id="1406029644">
      <w:bodyDiv w:val="1"/>
      <w:marLeft w:val="0"/>
      <w:marRight w:val="0"/>
      <w:marTop w:val="0"/>
      <w:marBottom w:val="0"/>
      <w:divBdr>
        <w:top w:val="none" w:sz="0" w:space="0" w:color="auto"/>
        <w:left w:val="none" w:sz="0" w:space="0" w:color="auto"/>
        <w:bottom w:val="none" w:sz="0" w:space="0" w:color="auto"/>
        <w:right w:val="none" w:sz="0" w:space="0" w:color="auto"/>
      </w:divBdr>
    </w:div>
    <w:div w:id="1422337879">
      <w:bodyDiv w:val="1"/>
      <w:marLeft w:val="0"/>
      <w:marRight w:val="0"/>
      <w:marTop w:val="0"/>
      <w:marBottom w:val="0"/>
      <w:divBdr>
        <w:top w:val="none" w:sz="0" w:space="0" w:color="auto"/>
        <w:left w:val="none" w:sz="0" w:space="0" w:color="auto"/>
        <w:bottom w:val="none" w:sz="0" w:space="0" w:color="auto"/>
        <w:right w:val="none" w:sz="0" w:space="0" w:color="auto"/>
      </w:divBdr>
    </w:div>
    <w:div w:id="1458988869">
      <w:bodyDiv w:val="1"/>
      <w:marLeft w:val="0"/>
      <w:marRight w:val="0"/>
      <w:marTop w:val="0"/>
      <w:marBottom w:val="0"/>
      <w:divBdr>
        <w:top w:val="none" w:sz="0" w:space="0" w:color="auto"/>
        <w:left w:val="none" w:sz="0" w:space="0" w:color="auto"/>
        <w:bottom w:val="none" w:sz="0" w:space="0" w:color="auto"/>
        <w:right w:val="none" w:sz="0" w:space="0" w:color="auto"/>
      </w:divBdr>
    </w:div>
    <w:div w:id="182230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af.ro/anaf/internet/ANAF/acasa/!ut/p/a1/hZBNb8IwDIZ_C4ceqUPRUOAWCqJDgxui5FKlxbSVQhKZbBP8elLQpB34sHzx4_eVP0BCDtKon7ZWvrVG6a6WoyIbZKMs4cmSi_mUiZSvNzwNYDEMgl0QsCch2Dv_8pVgMbsNSGiVrmqQTvmm35qDhXyPlS5QY-XJmrbCO4n_kUGHTpWikFh0XdiCfDftLnhxTti31ra8vWYnTDnkYTHCAxJS_E0BN967ScQiprHGj5hsxIRzEUuVRrNX9MjY2JOH_M8A7phfvqbjz74sz7-i17sCsWKIHQ!!/dl5/d5/L2dBISEvZ0FBIS9nQSEh/" TargetMode="External"/><Relationship Id="rId3" Type="http://schemas.openxmlformats.org/officeDocument/2006/relationships/settings" Target="settings.xml"/><Relationship Id="rId7" Type="http://schemas.openxmlformats.org/officeDocument/2006/relationships/hyperlink" Target="http://static.anaf.ro/static/10/Anaf/Declaratii_R/30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www.e-guvernare.ro" TargetMode="External"/><Relationship Id="rId5" Type="http://schemas.openxmlformats.org/officeDocument/2006/relationships/hyperlink" Target="https://www.avocatnet.ro/articol_47049/Intrastat-2018-Ce-praguri-se-vor-aplica-anul-viitor-%C8%99i-cum-se-va-face-raportarea.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2140</Words>
  <Characters>12202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dcterms:created xsi:type="dcterms:W3CDTF">2018-02-01T10:11:00Z</dcterms:created>
  <dcterms:modified xsi:type="dcterms:W3CDTF">2018-03-01T10:39:00Z</dcterms:modified>
</cp:coreProperties>
</file>