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06" w:rsidRDefault="007950FA">
      <w:pPr>
        <w:spacing w:line="360" w:lineRule="auto"/>
        <w:jc w:val="both"/>
        <w:rPr>
          <w:b/>
          <w:bCs/>
        </w:rPr>
      </w:pPr>
      <w:r>
        <w:rPr>
          <w:rFonts w:ascii="Times New Roman" w:hAnsi="Times New Roman" w:cs="Times New Roman"/>
          <w:b/>
          <w:bCs/>
          <w:color w:val="000000"/>
          <w:sz w:val="24"/>
          <w:szCs w:val="24"/>
        </w:rPr>
        <w:t>SEMNE DISTINCTIVE</w:t>
      </w:r>
    </w:p>
    <w:p w:rsidR="00B07F06" w:rsidRDefault="007950FA">
      <w:pPr>
        <w:spacing w:line="360" w:lineRule="auto"/>
        <w:jc w:val="both"/>
        <w:rPr>
          <w:b/>
          <w:bCs/>
        </w:rPr>
      </w:pPr>
      <w:r>
        <w:rPr>
          <w:rFonts w:ascii="Times New Roman" w:hAnsi="Times New Roman" w:cs="Times New Roman"/>
          <w:b/>
          <w:bCs/>
          <w:color w:val="000000"/>
          <w:sz w:val="24"/>
          <w:szCs w:val="24"/>
        </w:rPr>
        <w:t>Partea I.   Testul beneficiului principal</w:t>
      </w:r>
    </w:p>
    <w:p w:rsidR="00B07F06" w:rsidRDefault="007950FA">
      <w:pPr>
        <w:spacing w:line="360" w:lineRule="auto"/>
        <w:jc w:val="both"/>
      </w:pPr>
      <w:r>
        <w:rPr>
          <w:rFonts w:ascii="Times New Roman" w:hAnsi="Times New Roman" w:cs="Times New Roman"/>
          <w:color w:val="000000"/>
          <w:sz w:val="24"/>
          <w:szCs w:val="24"/>
        </w:rPr>
        <w:t>1. Semnele distinctive generice din categoria A și semnele distinctive specifice din categoria B și din categ</w:t>
      </w:r>
      <w:r>
        <w:rPr>
          <w:rFonts w:ascii="Times New Roman" w:hAnsi="Times New Roman" w:cs="Times New Roman"/>
          <w:color w:val="000000"/>
          <w:sz w:val="24"/>
          <w:szCs w:val="24"/>
        </w:rPr>
        <w:t>oria C pct. 1 lit. b) poz. (i) și lit. c) și d) pot fi luate în considerare numai în cazul în care trec ”testul beneficiului principal”.</w:t>
      </w:r>
    </w:p>
    <w:p w:rsidR="00B07F06" w:rsidRDefault="007950FA">
      <w:pPr>
        <w:spacing w:line="360" w:lineRule="auto"/>
        <w:jc w:val="both"/>
      </w:pPr>
      <w:r>
        <w:rPr>
          <w:rFonts w:ascii="Times New Roman" w:hAnsi="Times New Roman" w:cs="Times New Roman"/>
          <w:color w:val="000000"/>
          <w:sz w:val="24"/>
          <w:szCs w:val="24"/>
        </w:rPr>
        <w:t>2. Testul respectiv se consideră a fi trecut dacă se poate stabili faptul că beneficiul principal sau unul dintre benef</w:t>
      </w:r>
      <w:r>
        <w:rPr>
          <w:rFonts w:ascii="Times New Roman" w:hAnsi="Times New Roman" w:cs="Times New Roman"/>
          <w:color w:val="000000"/>
          <w:sz w:val="24"/>
          <w:szCs w:val="24"/>
        </w:rPr>
        <w:t>iciile principale pe care o persoană se poate aștepta în mod rezonabil să le obțină de pe urma unui aranjament transfrontalier, ținând seama de toate împrejurările și circumstanțele relevante, este obținerea unui avantaj fiscal.</w:t>
      </w:r>
    </w:p>
    <w:p w:rsidR="00B07F06" w:rsidRDefault="007950FA">
      <w:pPr>
        <w:spacing w:line="360" w:lineRule="auto"/>
        <w:jc w:val="both"/>
      </w:pPr>
      <w:r>
        <w:rPr>
          <w:rFonts w:ascii="Times New Roman" w:hAnsi="Times New Roman" w:cs="Times New Roman"/>
          <w:color w:val="000000"/>
          <w:sz w:val="24"/>
          <w:szCs w:val="24"/>
        </w:rPr>
        <w:t>3. În contextul semnului di</w:t>
      </w:r>
      <w:r>
        <w:rPr>
          <w:rFonts w:ascii="Times New Roman" w:hAnsi="Times New Roman" w:cs="Times New Roman"/>
          <w:color w:val="000000"/>
          <w:sz w:val="24"/>
          <w:szCs w:val="24"/>
        </w:rPr>
        <w:t>stinctiv de la categoria C pct. 1, prezența condițiilor enunțate la categoria C pct. 1 lit. b) poz. (i), lit. c) sau lit. d), necoroborată cu alte elemente, nu poate constitui singurul motiv pentru a concluziona că un aranjament transfrontalier trece testu</w:t>
      </w:r>
      <w:r>
        <w:rPr>
          <w:rFonts w:ascii="Times New Roman" w:hAnsi="Times New Roman" w:cs="Times New Roman"/>
          <w:color w:val="000000"/>
          <w:sz w:val="24"/>
          <w:szCs w:val="24"/>
        </w:rPr>
        <w:t>l beneficiului principal.</w:t>
      </w:r>
    </w:p>
    <w:p w:rsidR="00B07F06" w:rsidRDefault="007950FA">
      <w:pPr>
        <w:spacing w:line="360" w:lineRule="auto"/>
        <w:jc w:val="both"/>
        <w:rPr>
          <w:b/>
          <w:bCs/>
        </w:rPr>
      </w:pPr>
      <w:r>
        <w:rPr>
          <w:rFonts w:ascii="Times New Roman" w:hAnsi="Times New Roman" w:cs="Times New Roman"/>
          <w:b/>
          <w:bCs/>
          <w:color w:val="000000"/>
          <w:sz w:val="24"/>
          <w:szCs w:val="24"/>
        </w:rPr>
        <w:t>Partea II.   Categorii de semne distinctive</w:t>
      </w:r>
    </w:p>
    <w:p w:rsidR="00B07F06" w:rsidRDefault="007950FA">
      <w:pPr>
        <w:spacing w:line="360" w:lineRule="auto"/>
        <w:jc w:val="both"/>
        <w:rPr>
          <w:b/>
          <w:bCs/>
        </w:rPr>
      </w:pPr>
      <w:r>
        <w:rPr>
          <w:rFonts w:ascii="Times New Roman" w:hAnsi="Times New Roman" w:cs="Times New Roman"/>
          <w:b/>
          <w:bCs/>
          <w:color w:val="000000"/>
          <w:sz w:val="24"/>
          <w:szCs w:val="24"/>
        </w:rPr>
        <w:t>A.   Semne distinctive generice legate de testul beneficiului principal</w:t>
      </w:r>
    </w:p>
    <w:p w:rsidR="00B07F06" w:rsidRDefault="007950FA">
      <w:pPr>
        <w:spacing w:line="360" w:lineRule="auto"/>
        <w:jc w:val="both"/>
      </w:pPr>
      <w:r>
        <w:rPr>
          <w:rFonts w:ascii="Times New Roman" w:hAnsi="Times New Roman" w:cs="Times New Roman"/>
          <w:color w:val="000000"/>
          <w:sz w:val="24"/>
          <w:szCs w:val="24"/>
        </w:rPr>
        <w:t>1. Un aranjament transfrontalier în cazul căruia contribuabilul relevant sau un participant la aranjamentul transf</w:t>
      </w:r>
      <w:r>
        <w:rPr>
          <w:rFonts w:ascii="Times New Roman" w:hAnsi="Times New Roman" w:cs="Times New Roman"/>
          <w:color w:val="000000"/>
          <w:sz w:val="24"/>
          <w:szCs w:val="24"/>
        </w:rPr>
        <w:t>rontalier acceptă să respecte o clauză de confidențialitate care îi poate impune să nu comunice modul în care aranjamentul respectiv ar putea duce la obținerea unui avantaj fiscal către alți intermediari sau către autoritățile fiscale.</w:t>
      </w:r>
    </w:p>
    <w:p w:rsidR="00B07F06" w:rsidRDefault="007950FA">
      <w:pPr>
        <w:spacing w:line="360" w:lineRule="auto"/>
        <w:jc w:val="both"/>
      </w:pPr>
      <w:r>
        <w:rPr>
          <w:rFonts w:ascii="Times New Roman" w:hAnsi="Times New Roman" w:cs="Times New Roman"/>
          <w:color w:val="000000"/>
          <w:sz w:val="24"/>
          <w:szCs w:val="24"/>
        </w:rPr>
        <w:t>2. Un aranjament tra</w:t>
      </w:r>
      <w:r>
        <w:rPr>
          <w:rFonts w:ascii="Times New Roman" w:hAnsi="Times New Roman" w:cs="Times New Roman"/>
          <w:color w:val="000000"/>
          <w:sz w:val="24"/>
          <w:szCs w:val="24"/>
        </w:rPr>
        <w:t>nsfrontalier pentru care intermediarul este îndreptățit să primească un comision (sau dobândă, o remunerație aferentă costurilor financiare și altor cheltuieli) pentru aranjamentul respectiv, iar respectivul comision este fixat prin referire la:</w:t>
      </w:r>
    </w:p>
    <w:p w:rsidR="00B07F06" w:rsidRDefault="007950FA">
      <w:pPr>
        <w:spacing w:line="360" w:lineRule="auto"/>
        <w:ind w:firstLine="269"/>
        <w:jc w:val="both"/>
      </w:pPr>
      <w:r>
        <w:rPr>
          <w:rFonts w:ascii="Times New Roman" w:hAnsi="Times New Roman" w:cs="Times New Roman"/>
          <w:color w:val="000000"/>
          <w:sz w:val="24"/>
          <w:szCs w:val="24"/>
        </w:rPr>
        <w:t>a) cuantum</w:t>
      </w:r>
      <w:r>
        <w:rPr>
          <w:rFonts w:ascii="Times New Roman" w:hAnsi="Times New Roman" w:cs="Times New Roman"/>
          <w:color w:val="000000"/>
          <w:sz w:val="24"/>
          <w:szCs w:val="24"/>
        </w:rPr>
        <w:t>ul avantajului fiscal care rezultă din aranjamentul respectiv; sau</w:t>
      </w:r>
    </w:p>
    <w:p w:rsidR="00B07F06" w:rsidRDefault="007950FA">
      <w:pPr>
        <w:spacing w:line="360" w:lineRule="auto"/>
        <w:ind w:firstLine="269"/>
        <w:jc w:val="both"/>
      </w:pPr>
      <w:r>
        <w:rPr>
          <w:rFonts w:ascii="Times New Roman" w:hAnsi="Times New Roman" w:cs="Times New Roman"/>
          <w:color w:val="000000"/>
          <w:sz w:val="24"/>
          <w:szCs w:val="24"/>
        </w:rPr>
        <w:t>b) un avantaj fiscal care derivă sau nu din aranjamentul respectiv. Aceasta ar include obligația intermediarului să restituie parțial sau integral comisioanele, în cazul în care avantajul f</w:t>
      </w:r>
      <w:r>
        <w:rPr>
          <w:rFonts w:ascii="Times New Roman" w:hAnsi="Times New Roman" w:cs="Times New Roman"/>
          <w:color w:val="000000"/>
          <w:sz w:val="24"/>
          <w:szCs w:val="24"/>
        </w:rPr>
        <w:t>iscal urmărit ce derivă din aranjamentul resptectiv nu a fost obținut parțial sau integral.</w:t>
      </w:r>
    </w:p>
    <w:p w:rsidR="00B07F06" w:rsidRDefault="007950FA">
      <w:pPr>
        <w:spacing w:line="360" w:lineRule="auto"/>
        <w:jc w:val="both"/>
      </w:pPr>
      <w:r>
        <w:rPr>
          <w:rFonts w:ascii="Times New Roman" w:hAnsi="Times New Roman" w:cs="Times New Roman"/>
          <w:color w:val="000000"/>
          <w:sz w:val="24"/>
          <w:szCs w:val="24"/>
        </w:rPr>
        <w:lastRenderedPageBreak/>
        <w:t>3. Un aranjament transfrontalier care conține o documentație și/sau o structură puternic standardizată și care este disponibil pentru mai mult de un contribuabil re</w:t>
      </w:r>
      <w:r>
        <w:rPr>
          <w:rFonts w:ascii="Times New Roman" w:hAnsi="Times New Roman" w:cs="Times New Roman"/>
          <w:color w:val="000000"/>
          <w:sz w:val="24"/>
          <w:szCs w:val="24"/>
        </w:rPr>
        <w:t>levant fără a fi necesară personalizarea substanțială a acestuia pentru implementare.</w:t>
      </w:r>
    </w:p>
    <w:p w:rsidR="00B07F06" w:rsidRDefault="007950FA">
      <w:pPr>
        <w:spacing w:line="360" w:lineRule="auto"/>
        <w:jc w:val="both"/>
        <w:rPr>
          <w:b/>
          <w:bCs/>
        </w:rPr>
      </w:pPr>
      <w:r>
        <w:rPr>
          <w:rFonts w:ascii="Times New Roman" w:hAnsi="Times New Roman" w:cs="Times New Roman"/>
          <w:b/>
          <w:bCs/>
          <w:color w:val="000000"/>
          <w:sz w:val="24"/>
          <w:szCs w:val="24"/>
        </w:rPr>
        <w:t>B.   Semne distinctive specifice legate de testul beneficiului principal</w:t>
      </w:r>
    </w:p>
    <w:p w:rsidR="00B07F06" w:rsidRDefault="007950FA">
      <w:pPr>
        <w:spacing w:line="360" w:lineRule="auto"/>
        <w:jc w:val="both"/>
      </w:pPr>
      <w:r>
        <w:rPr>
          <w:rFonts w:ascii="Times New Roman" w:hAnsi="Times New Roman" w:cs="Times New Roman"/>
          <w:color w:val="000000"/>
          <w:sz w:val="24"/>
          <w:szCs w:val="24"/>
        </w:rPr>
        <w:t>1. Un aranjament transfrontalier prin care un participant la aranjamentul respectiv ia măsuri art</w:t>
      </w:r>
      <w:r>
        <w:rPr>
          <w:rFonts w:ascii="Times New Roman" w:hAnsi="Times New Roman" w:cs="Times New Roman"/>
          <w:color w:val="000000"/>
          <w:sz w:val="24"/>
          <w:szCs w:val="24"/>
        </w:rPr>
        <w:t>ificiale, prin asta înțelegând inclusiv tranzacții transfrontaliere artificiale potrivit art. 11 alin. (3) din Legea nr. 227/2015 privind Codul fiscal, cu modificările și completările ulterioare, care constau în achiziționarea unei societăți care înregistr</w:t>
      </w:r>
      <w:r>
        <w:rPr>
          <w:rFonts w:ascii="Times New Roman" w:hAnsi="Times New Roman" w:cs="Times New Roman"/>
          <w:color w:val="000000"/>
          <w:sz w:val="24"/>
          <w:szCs w:val="24"/>
        </w:rPr>
        <w:t>ează pierderi, întreruperea activității principale a respectivei societăți și utilizarea pierderilor societății pentru a reduce obligațiile fiscale, inclusiv prin intermediul unui transfer a acestor pierderi către o altă jurisdicție sau prin accelerarea ut</w:t>
      </w:r>
      <w:r>
        <w:rPr>
          <w:rFonts w:ascii="Times New Roman" w:hAnsi="Times New Roman" w:cs="Times New Roman"/>
          <w:color w:val="000000"/>
          <w:sz w:val="24"/>
          <w:szCs w:val="24"/>
        </w:rPr>
        <w:t>ilizării acestor pierderi.</w:t>
      </w:r>
    </w:p>
    <w:p w:rsidR="00B07F06" w:rsidRDefault="007950FA">
      <w:pPr>
        <w:spacing w:line="360" w:lineRule="auto"/>
        <w:jc w:val="both"/>
      </w:pPr>
      <w:r>
        <w:rPr>
          <w:rFonts w:ascii="Times New Roman" w:hAnsi="Times New Roman" w:cs="Times New Roman"/>
          <w:color w:val="000000"/>
          <w:sz w:val="24"/>
          <w:szCs w:val="24"/>
        </w:rPr>
        <w:t>2. Un aranjament transfrontalier care are ca efect conversia veniturilor în capital, donații sau alte categorii de venituri care sunt impozitate la un nivel mai redus sau sunt scutite de la plata impozitelor.</w:t>
      </w:r>
    </w:p>
    <w:p w:rsidR="00B07F06" w:rsidRDefault="007950FA">
      <w:pPr>
        <w:spacing w:line="360" w:lineRule="auto"/>
        <w:jc w:val="both"/>
      </w:pPr>
      <w:r>
        <w:rPr>
          <w:rFonts w:ascii="Times New Roman" w:hAnsi="Times New Roman" w:cs="Times New Roman"/>
          <w:color w:val="000000"/>
          <w:sz w:val="24"/>
          <w:szCs w:val="24"/>
        </w:rPr>
        <w:t>3. Un aranjament tra</w:t>
      </w:r>
      <w:r>
        <w:rPr>
          <w:rFonts w:ascii="Times New Roman" w:hAnsi="Times New Roman" w:cs="Times New Roman"/>
          <w:color w:val="000000"/>
          <w:sz w:val="24"/>
          <w:szCs w:val="24"/>
        </w:rPr>
        <w:t>nsfrontalier care include tranzacții circulare care au ca rezultat spălarea banilor, anume prin implicarea unor entități interpuse fără alt scop comercial primar sau prin tranzacții care se compensează ori se anulează reciproc sau care au alte caracteristi</w:t>
      </w:r>
      <w:r>
        <w:rPr>
          <w:rFonts w:ascii="Times New Roman" w:hAnsi="Times New Roman" w:cs="Times New Roman"/>
          <w:color w:val="000000"/>
          <w:sz w:val="24"/>
          <w:szCs w:val="24"/>
        </w:rPr>
        <w:t>ci similare.</w:t>
      </w:r>
    </w:p>
    <w:p w:rsidR="00B07F06" w:rsidRDefault="007950FA">
      <w:pPr>
        <w:spacing w:line="360" w:lineRule="auto"/>
        <w:jc w:val="both"/>
        <w:rPr>
          <w:b/>
          <w:bCs/>
        </w:rPr>
      </w:pPr>
      <w:r>
        <w:rPr>
          <w:rFonts w:ascii="Times New Roman" w:hAnsi="Times New Roman" w:cs="Times New Roman"/>
          <w:b/>
          <w:bCs/>
          <w:color w:val="000000"/>
          <w:sz w:val="24"/>
          <w:szCs w:val="24"/>
        </w:rPr>
        <w:t>C.   Semne distinctive specifice asociate tranzacțiilor transfrontaliere</w:t>
      </w:r>
    </w:p>
    <w:p w:rsidR="00B07F06" w:rsidRDefault="007950FA">
      <w:pPr>
        <w:spacing w:line="360" w:lineRule="auto"/>
        <w:jc w:val="both"/>
      </w:pPr>
      <w:r>
        <w:rPr>
          <w:rFonts w:ascii="Times New Roman" w:hAnsi="Times New Roman" w:cs="Times New Roman"/>
          <w:color w:val="000000"/>
          <w:sz w:val="24"/>
          <w:szCs w:val="24"/>
        </w:rPr>
        <w:t>1. Un aranjament transfrontalier care implică plăți transfrontaliere deductibile efectuate între două sau mai multe întreprinderi asociate, în cazul în care este prezentă</w:t>
      </w:r>
      <w:r>
        <w:rPr>
          <w:rFonts w:ascii="Times New Roman" w:hAnsi="Times New Roman" w:cs="Times New Roman"/>
          <w:color w:val="000000"/>
          <w:sz w:val="24"/>
          <w:szCs w:val="24"/>
        </w:rPr>
        <w:t xml:space="preserve"> cel puțin una dintre următoarele condiții:</w:t>
      </w:r>
    </w:p>
    <w:p w:rsidR="00B07F06" w:rsidRDefault="007950FA">
      <w:pPr>
        <w:spacing w:line="360" w:lineRule="auto"/>
        <w:ind w:firstLine="269"/>
        <w:jc w:val="both"/>
      </w:pPr>
      <w:r>
        <w:rPr>
          <w:rFonts w:ascii="Times New Roman" w:hAnsi="Times New Roman" w:cs="Times New Roman"/>
          <w:color w:val="000000"/>
          <w:sz w:val="24"/>
          <w:szCs w:val="24"/>
        </w:rPr>
        <w:t>a) destinatarul nu este rezident fiscal în nicio jurisdicție;</w:t>
      </w:r>
    </w:p>
    <w:p w:rsidR="00B07F06" w:rsidRDefault="007950FA">
      <w:pPr>
        <w:spacing w:line="360" w:lineRule="auto"/>
        <w:ind w:firstLine="269"/>
        <w:jc w:val="both"/>
      </w:pPr>
      <w:r>
        <w:rPr>
          <w:rFonts w:ascii="Times New Roman" w:hAnsi="Times New Roman" w:cs="Times New Roman"/>
          <w:color w:val="000000"/>
          <w:sz w:val="24"/>
          <w:szCs w:val="24"/>
        </w:rPr>
        <w:t>b) cu toate că destinatarul este rezident fiscal într-o jurisdicție, acea jurisdicție:</w:t>
      </w:r>
    </w:p>
    <w:p w:rsidR="00B07F06" w:rsidRDefault="007950FA">
      <w:pPr>
        <w:spacing w:line="360" w:lineRule="auto"/>
        <w:ind w:firstLine="540"/>
        <w:jc w:val="both"/>
      </w:pPr>
      <w:r>
        <w:rPr>
          <w:rFonts w:ascii="Times New Roman" w:hAnsi="Times New Roman" w:cs="Times New Roman"/>
          <w:color w:val="000000"/>
          <w:sz w:val="24"/>
          <w:szCs w:val="24"/>
        </w:rPr>
        <w:t xml:space="preserve">(i) nu impune un impozit pe profit sau impune un impozit pe </w:t>
      </w:r>
      <w:r>
        <w:rPr>
          <w:rFonts w:ascii="Times New Roman" w:hAnsi="Times New Roman" w:cs="Times New Roman"/>
          <w:color w:val="000000"/>
          <w:sz w:val="24"/>
          <w:szCs w:val="24"/>
        </w:rPr>
        <w:t>profit la o cotă egală cu zero ori mai mică de 1%; sau</w:t>
      </w:r>
    </w:p>
    <w:p w:rsidR="00B07F06" w:rsidRDefault="007950FA">
      <w:pPr>
        <w:spacing w:line="360" w:lineRule="auto"/>
        <w:ind w:firstLine="540"/>
        <w:jc w:val="both"/>
      </w:pPr>
      <w:r>
        <w:rPr>
          <w:rFonts w:ascii="Times New Roman" w:hAnsi="Times New Roman" w:cs="Times New Roman"/>
          <w:color w:val="000000"/>
          <w:sz w:val="24"/>
          <w:szCs w:val="24"/>
        </w:rPr>
        <w:t>(ii) este inclusă într-o listă de jurisdicții ale unor țări terțe care au fost evaluate de statele membre, în mod colectiv sau în cadrul Organizației pentru Cooperare și Dezvoltare Economică, și au fos</w:t>
      </w:r>
      <w:r>
        <w:rPr>
          <w:rFonts w:ascii="Times New Roman" w:hAnsi="Times New Roman" w:cs="Times New Roman"/>
          <w:color w:val="000000"/>
          <w:sz w:val="24"/>
          <w:szCs w:val="24"/>
        </w:rPr>
        <w:t>t calificate ca fiind necooperante;</w:t>
      </w:r>
    </w:p>
    <w:p w:rsidR="00B07F06" w:rsidRDefault="007950FA">
      <w:pPr>
        <w:spacing w:line="360" w:lineRule="auto"/>
        <w:ind w:firstLine="269"/>
        <w:jc w:val="both"/>
      </w:pPr>
      <w:r>
        <w:rPr>
          <w:rFonts w:ascii="Times New Roman" w:hAnsi="Times New Roman" w:cs="Times New Roman"/>
          <w:color w:val="000000"/>
          <w:sz w:val="24"/>
          <w:szCs w:val="24"/>
        </w:rPr>
        <w:lastRenderedPageBreak/>
        <w:t>c) plata beneficiază de o scutire integrală de impozit în jurisdicția în care destinatarul este rezident fiscal;</w:t>
      </w:r>
    </w:p>
    <w:p w:rsidR="00B07F06" w:rsidRDefault="007950FA">
      <w:pPr>
        <w:spacing w:line="360" w:lineRule="auto"/>
        <w:ind w:firstLine="269"/>
        <w:jc w:val="both"/>
      </w:pPr>
      <w:r>
        <w:rPr>
          <w:rFonts w:ascii="Times New Roman" w:hAnsi="Times New Roman" w:cs="Times New Roman"/>
          <w:color w:val="000000"/>
          <w:sz w:val="24"/>
          <w:szCs w:val="24"/>
        </w:rPr>
        <w:t>d) plata beneficiază de un regim fiscal preferențial în jurisdicția în care destinatarul este rezident fisc</w:t>
      </w:r>
      <w:r>
        <w:rPr>
          <w:rFonts w:ascii="Times New Roman" w:hAnsi="Times New Roman" w:cs="Times New Roman"/>
          <w:color w:val="000000"/>
          <w:sz w:val="24"/>
          <w:szCs w:val="24"/>
        </w:rPr>
        <w:t>al.</w:t>
      </w:r>
    </w:p>
    <w:p w:rsidR="00B07F06" w:rsidRDefault="007950FA">
      <w:pPr>
        <w:spacing w:line="360" w:lineRule="auto"/>
        <w:jc w:val="both"/>
      </w:pPr>
      <w:r>
        <w:rPr>
          <w:rFonts w:ascii="Times New Roman" w:hAnsi="Times New Roman" w:cs="Times New Roman"/>
          <w:color w:val="000000"/>
          <w:sz w:val="24"/>
          <w:szCs w:val="24"/>
        </w:rPr>
        <w:t>2. Deducerile pentru aceeași amortizare a activului sunt solicitate în mai multe jurisdicții.</w:t>
      </w:r>
    </w:p>
    <w:p w:rsidR="00B07F06" w:rsidRDefault="007950FA">
      <w:pPr>
        <w:spacing w:line="360" w:lineRule="auto"/>
        <w:jc w:val="both"/>
      </w:pPr>
      <w:r>
        <w:rPr>
          <w:rFonts w:ascii="Times New Roman" w:hAnsi="Times New Roman" w:cs="Times New Roman"/>
          <w:color w:val="000000"/>
          <w:sz w:val="24"/>
          <w:szCs w:val="24"/>
        </w:rPr>
        <w:t>3. Scutirea de la dubla impunere cu privire la același element de venit sau de capital este pretinsă în mai mult de o jurisdicție.</w:t>
      </w:r>
    </w:p>
    <w:p w:rsidR="00B07F06" w:rsidRDefault="007950FA">
      <w:pPr>
        <w:spacing w:line="360" w:lineRule="auto"/>
        <w:jc w:val="both"/>
      </w:pPr>
      <w:r>
        <w:rPr>
          <w:rFonts w:ascii="Times New Roman" w:hAnsi="Times New Roman" w:cs="Times New Roman"/>
          <w:color w:val="000000"/>
          <w:sz w:val="24"/>
          <w:szCs w:val="24"/>
        </w:rPr>
        <w:t>4. Există un aranjament tra</w:t>
      </w:r>
      <w:r>
        <w:rPr>
          <w:rFonts w:ascii="Times New Roman" w:hAnsi="Times New Roman" w:cs="Times New Roman"/>
          <w:color w:val="000000"/>
          <w:sz w:val="24"/>
          <w:szCs w:val="24"/>
        </w:rPr>
        <w:t>nsfrontalier care include transferuri de active și în cazul căruia există o diferență semnificativă în ceea ce privește suma tratată ca plătibilă pentru activele respective în jurisdicțiile implicate.</w:t>
      </w:r>
    </w:p>
    <w:p w:rsidR="00B07F06" w:rsidRDefault="007950FA">
      <w:pPr>
        <w:spacing w:line="360" w:lineRule="auto"/>
        <w:jc w:val="both"/>
        <w:rPr>
          <w:b/>
          <w:bCs/>
        </w:rPr>
      </w:pPr>
      <w:r>
        <w:rPr>
          <w:rFonts w:ascii="Times New Roman" w:hAnsi="Times New Roman" w:cs="Times New Roman"/>
          <w:b/>
          <w:bCs/>
          <w:color w:val="000000"/>
          <w:sz w:val="24"/>
          <w:szCs w:val="24"/>
        </w:rPr>
        <w:t>D.   Semne distinctive specifice referitoare la schimbu</w:t>
      </w:r>
      <w:r>
        <w:rPr>
          <w:rFonts w:ascii="Times New Roman" w:hAnsi="Times New Roman" w:cs="Times New Roman"/>
          <w:b/>
          <w:bCs/>
          <w:color w:val="000000"/>
          <w:sz w:val="24"/>
          <w:szCs w:val="24"/>
        </w:rPr>
        <w:t>l automat de informații și la beneficiarii reali</w:t>
      </w:r>
    </w:p>
    <w:p w:rsidR="00B07F06" w:rsidRDefault="007950FA">
      <w:pPr>
        <w:spacing w:line="360" w:lineRule="auto"/>
        <w:jc w:val="both"/>
      </w:pPr>
      <w:r>
        <w:rPr>
          <w:rFonts w:ascii="Times New Roman" w:hAnsi="Times New Roman" w:cs="Times New Roman"/>
          <w:color w:val="000000"/>
          <w:sz w:val="24"/>
          <w:szCs w:val="24"/>
        </w:rPr>
        <w:t>1. Un aranjament transfrontalier care poate avea ca efect subminarea obligației de raportare instituită potrivit normelor prin care a fost implementată legislația unională în materie sau oricare alte acordur</w:t>
      </w:r>
      <w:r>
        <w:rPr>
          <w:rFonts w:ascii="Times New Roman" w:hAnsi="Times New Roman" w:cs="Times New Roman"/>
          <w:color w:val="000000"/>
          <w:sz w:val="24"/>
          <w:szCs w:val="24"/>
        </w:rPr>
        <w:t>i echivalente privind schmbul automat de informații referitoare la Conturile Financiare, inclusiv acorduri cu țări terțe, sau care profită de absența unor astfel de legi sau acorduri.  Aceste aranjamente transfrontaliere includ cel puțin:</w:t>
      </w:r>
    </w:p>
    <w:p w:rsidR="00B07F06" w:rsidRDefault="007950FA">
      <w:pPr>
        <w:spacing w:line="360" w:lineRule="auto"/>
        <w:ind w:firstLine="269"/>
        <w:jc w:val="both"/>
      </w:pPr>
      <w:r>
        <w:rPr>
          <w:rFonts w:ascii="Times New Roman" w:hAnsi="Times New Roman" w:cs="Times New Roman"/>
          <w:color w:val="000000"/>
          <w:sz w:val="24"/>
          <w:szCs w:val="24"/>
        </w:rPr>
        <w:t>a) utilizarea unu</w:t>
      </w:r>
      <w:r>
        <w:rPr>
          <w:rFonts w:ascii="Times New Roman" w:hAnsi="Times New Roman" w:cs="Times New Roman"/>
          <w:color w:val="000000"/>
          <w:sz w:val="24"/>
          <w:szCs w:val="24"/>
        </w:rPr>
        <w:t>i cont, a unui produs sau a unei investiții care nu reprezintă sau despre care se pretinde că nu reprezintă un Cont Financiar, dar prezintă caracteristici care sunt similare în esență cu cele ale unui Cont Financiar;</w:t>
      </w:r>
    </w:p>
    <w:p w:rsidR="00B07F06" w:rsidRDefault="007950FA">
      <w:pPr>
        <w:spacing w:line="360" w:lineRule="auto"/>
        <w:ind w:firstLine="269"/>
        <w:jc w:val="both"/>
      </w:pPr>
      <w:r>
        <w:rPr>
          <w:rFonts w:ascii="Times New Roman" w:hAnsi="Times New Roman" w:cs="Times New Roman"/>
          <w:color w:val="000000"/>
          <w:sz w:val="24"/>
          <w:szCs w:val="24"/>
        </w:rPr>
        <w:t>b) transferul Conturilor Financiare sau</w:t>
      </w:r>
      <w:r>
        <w:rPr>
          <w:rFonts w:ascii="Times New Roman" w:hAnsi="Times New Roman" w:cs="Times New Roman"/>
          <w:color w:val="000000"/>
          <w:sz w:val="24"/>
          <w:szCs w:val="24"/>
        </w:rPr>
        <w:t xml:space="preserve"> al activelor către jurisdicții în care nu există obligația schimbului automat de informații privind Conturile Financiare cu statul de reședință al contribuabilului relevant sau utilizarea jurisdicțiilor respective;</w:t>
      </w:r>
    </w:p>
    <w:p w:rsidR="00B07F06" w:rsidRDefault="007950FA">
      <w:pPr>
        <w:spacing w:line="360" w:lineRule="auto"/>
        <w:ind w:firstLine="269"/>
        <w:jc w:val="both"/>
      </w:pPr>
      <w:r>
        <w:rPr>
          <w:rFonts w:ascii="Times New Roman" w:hAnsi="Times New Roman" w:cs="Times New Roman"/>
          <w:color w:val="000000"/>
          <w:sz w:val="24"/>
          <w:szCs w:val="24"/>
        </w:rPr>
        <w:t>c) reclasificarea veniturilor și a capit</w:t>
      </w:r>
      <w:r>
        <w:rPr>
          <w:rFonts w:ascii="Times New Roman" w:hAnsi="Times New Roman" w:cs="Times New Roman"/>
          <w:color w:val="000000"/>
          <w:sz w:val="24"/>
          <w:szCs w:val="24"/>
        </w:rPr>
        <w:t>alului în produse sau plăți care nu fac obiectul schimbului automat de informații privind Conturile Financiare;</w:t>
      </w:r>
    </w:p>
    <w:p w:rsidR="00B07F06" w:rsidRDefault="007950FA">
      <w:pPr>
        <w:spacing w:line="360" w:lineRule="auto"/>
        <w:ind w:firstLine="269"/>
        <w:jc w:val="both"/>
      </w:pPr>
      <w:r>
        <w:rPr>
          <w:rFonts w:ascii="Times New Roman" w:hAnsi="Times New Roman" w:cs="Times New Roman"/>
          <w:color w:val="000000"/>
          <w:sz w:val="24"/>
          <w:szCs w:val="24"/>
        </w:rPr>
        <w:t>d) transferul sau conversia unei Instituții Financiare, a unui Cont Financiar sau a activelor acestora, într-o Instituție Financiară, un Cont Fi</w:t>
      </w:r>
      <w:r>
        <w:rPr>
          <w:rFonts w:ascii="Times New Roman" w:hAnsi="Times New Roman" w:cs="Times New Roman"/>
          <w:color w:val="000000"/>
          <w:sz w:val="24"/>
          <w:szCs w:val="24"/>
        </w:rPr>
        <w:t>nanciar sau active care nu fac obiectul raportării în cadrul schimbului automat de informații privind Conturile Financiare;</w:t>
      </w:r>
    </w:p>
    <w:p w:rsidR="00B07F06" w:rsidRDefault="007950FA">
      <w:pPr>
        <w:spacing w:line="360" w:lineRule="auto"/>
        <w:ind w:firstLine="269"/>
        <w:jc w:val="both"/>
      </w:pPr>
      <w:r>
        <w:rPr>
          <w:rFonts w:ascii="Times New Roman" w:hAnsi="Times New Roman" w:cs="Times New Roman"/>
          <w:color w:val="000000"/>
          <w:sz w:val="24"/>
          <w:szCs w:val="24"/>
        </w:rPr>
        <w:lastRenderedPageBreak/>
        <w:t>e) utilizarea entităților legale, aranjamentelor sau structurilor juridice care elimină sau despre care se pretinde că înlătură obli</w:t>
      </w:r>
      <w:r>
        <w:rPr>
          <w:rFonts w:ascii="Times New Roman" w:hAnsi="Times New Roman" w:cs="Times New Roman"/>
          <w:color w:val="000000"/>
          <w:sz w:val="24"/>
          <w:szCs w:val="24"/>
        </w:rPr>
        <w:t>gația de raportare a unuia sau mai multor Titulari de cont sau Persoane care exercită controlul, instituită potrivit normelor privind schimbul automat de informații a Conturilor Financiare;</w:t>
      </w:r>
    </w:p>
    <w:p w:rsidR="00B07F06" w:rsidRDefault="007950FA">
      <w:pPr>
        <w:spacing w:line="360" w:lineRule="auto"/>
        <w:ind w:firstLine="269"/>
        <w:jc w:val="both"/>
      </w:pPr>
      <w:r>
        <w:rPr>
          <w:rFonts w:ascii="Times New Roman" w:hAnsi="Times New Roman" w:cs="Times New Roman"/>
          <w:color w:val="000000"/>
          <w:sz w:val="24"/>
          <w:szCs w:val="24"/>
        </w:rPr>
        <w:t>f) aranjamente transfrontaliere care subminează sau exploatează sl</w:t>
      </w:r>
      <w:r>
        <w:rPr>
          <w:rFonts w:ascii="Times New Roman" w:hAnsi="Times New Roman" w:cs="Times New Roman"/>
          <w:color w:val="000000"/>
          <w:sz w:val="24"/>
          <w:szCs w:val="24"/>
        </w:rPr>
        <w:t xml:space="preserve">ăbiciunile din cadrul procedurilor de diligență fiscală utilizate de Instituțiile Financiare pentru a-și respecta obligațiile de raportare a informațiilor privind Conturi Financiare, inclusiv utilizarea jurisdicțiilor cu regimuri inadecvate sau precare de </w:t>
      </w:r>
      <w:r>
        <w:rPr>
          <w:rFonts w:ascii="Times New Roman" w:hAnsi="Times New Roman" w:cs="Times New Roman"/>
          <w:color w:val="000000"/>
          <w:sz w:val="24"/>
          <w:szCs w:val="24"/>
        </w:rPr>
        <w:t>asigurare a respectării legislației privind combaterea spălării banilor ori cu cerințe precare în materie de transparență cu privire la persoanele juridice sau construcțiile juridice.</w:t>
      </w:r>
    </w:p>
    <w:p w:rsidR="00B07F06" w:rsidRDefault="007950FA">
      <w:pPr>
        <w:spacing w:line="360" w:lineRule="auto"/>
        <w:jc w:val="both"/>
      </w:pPr>
      <w:r>
        <w:rPr>
          <w:rFonts w:ascii="Times New Roman" w:hAnsi="Times New Roman" w:cs="Times New Roman"/>
          <w:color w:val="000000"/>
          <w:sz w:val="24"/>
          <w:szCs w:val="24"/>
        </w:rPr>
        <w:t>2. Un aranjament transfrontalier care implică un lanț juridic sau de ben</w:t>
      </w:r>
      <w:r>
        <w:rPr>
          <w:rFonts w:ascii="Times New Roman" w:hAnsi="Times New Roman" w:cs="Times New Roman"/>
          <w:color w:val="000000"/>
          <w:sz w:val="24"/>
          <w:szCs w:val="24"/>
        </w:rPr>
        <w:t>eficiari reali netransparent, ce utilizează persoane, aranjamente juridice sau structuri:</w:t>
      </w:r>
    </w:p>
    <w:p w:rsidR="00B07F06" w:rsidRDefault="007950FA">
      <w:pPr>
        <w:spacing w:line="360" w:lineRule="auto"/>
        <w:ind w:firstLine="269"/>
        <w:jc w:val="both"/>
      </w:pPr>
      <w:r>
        <w:rPr>
          <w:rFonts w:ascii="Times New Roman" w:hAnsi="Times New Roman" w:cs="Times New Roman"/>
          <w:color w:val="000000"/>
          <w:sz w:val="24"/>
          <w:szCs w:val="24"/>
        </w:rPr>
        <w:t>a) care nu desfășoară o activitate economică semnificativă susținută de personal, echipamente, active și spații de lucru adecvate; și</w:t>
      </w:r>
    </w:p>
    <w:p w:rsidR="00B07F06" w:rsidRDefault="007950FA">
      <w:pPr>
        <w:spacing w:line="360" w:lineRule="auto"/>
        <w:ind w:firstLine="269"/>
        <w:jc w:val="both"/>
      </w:pPr>
      <w:r>
        <w:rPr>
          <w:rFonts w:ascii="Times New Roman" w:hAnsi="Times New Roman" w:cs="Times New Roman"/>
          <w:color w:val="000000"/>
          <w:sz w:val="24"/>
          <w:szCs w:val="24"/>
        </w:rPr>
        <w:t>b) care sunt încorporate, gestio</w:t>
      </w:r>
      <w:r>
        <w:rPr>
          <w:rFonts w:ascii="Times New Roman" w:hAnsi="Times New Roman" w:cs="Times New Roman"/>
          <w:color w:val="000000"/>
          <w:sz w:val="24"/>
          <w:szCs w:val="24"/>
        </w:rPr>
        <w:t>nate, rezidente, controlate sau stabilite în orice altă jurisdicție decât cea de rezidență a unuia sau mai mulți dintre beneficiarii reali ai activelor deținute de aceste persoane, construcții juridice sau structuri; și</w:t>
      </w:r>
    </w:p>
    <w:p w:rsidR="00B07F06" w:rsidRDefault="007950FA">
      <w:pPr>
        <w:spacing w:line="360" w:lineRule="auto"/>
        <w:ind w:firstLine="269"/>
        <w:jc w:val="both"/>
      </w:pPr>
      <w:r>
        <w:rPr>
          <w:rFonts w:ascii="Times New Roman" w:hAnsi="Times New Roman" w:cs="Times New Roman"/>
          <w:color w:val="000000"/>
          <w:sz w:val="24"/>
          <w:szCs w:val="24"/>
        </w:rPr>
        <w:t>c) în cazul în care beneficiarii rea</w:t>
      </w:r>
      <w:r>
        <w:rPr>
          <w:rFonts w:ascii="Times New Roman" w:hAnsi="Times New Roman" w:cs="Times New Roman"/>
          <w:color w:val="000000"/>
          <w:sz w:val="24"/>
          <w:szCs w:val="24"/>
        </w:rPr>
        <w:t>li ai acestor persoane, construcții juridice sau structuri, astfel cum sunt definite în Directiva (UE) 2015/849 a Parlamentului European și a Consiliului din 20 mai 2015 privind prevenirea utilizării sistemului financiar în scopul spălării banilor sau fina</w:t>
      </w:r>
      <w:r>
        <w:rPr>
          <w:rFonts w:ascii="Times New Roman" w:hAnsi="Times New Roman" w:cs="Times New Roman"/>
          <w:color w:val="000000"/>
          <w:sz w:val="24"/>
          <w:szCs w:val="24"/>
        </w:rPr>
        <w:t>nțării terorismului, de modificare a Regulamentului (UE) nr. 648/2012 al Parlamentului European și al Consiliului și de abrogare a Directivei 2005/60/CE a Parlamentului European și a Consiliului și a Directivei 2006/70/CE a Comisiei, devin neidentificabili</w:t>
      </w:r>
      <w:r>
        <w:rPr>
          <w:rFonts w:ascii="Times New Roman" w:hAnsi="Times New Roman" w:cs="Times New Roman"/>
          <w:color w:val="000000"/>
          <w:sz w:val="24"/>
          <w:szCs w:val="24"/>
        </w:rPr>
        <w:t>.</w:t>
      </w:r>
    </w:p>
    <w:p w:rsidR="00B07F06" w:rsidRDefault="007950FA">
      <w:pPr>
        <w:spacing w:line="360" w:lineRule="auto"/>
        <w:jc w:val="both"/>
        <w:rPr>
          <w:b/>
          <w:bCs/>
        </w:rPr>
      </w:pPr>
      <w:r>
        <w:rPr>
          <w:rFonts w:ascii="Times New Roman" w:hAnsi="Times New Roman" w:cs="Times New Roman"/>
          <w:b/>
          <w:bCs/>
          <w:color w:val="000000"/>
          <w:sz w:val="24"/>
          <w:szCs w:val="24"/>
        </w:rPr>
        <w:t>E.   Semne distinctive specifice privind prețurile de transfer</w:t>
      </w:r>
    </w:p>
    <w:p w:rsidR="00B07F06" w:rsidRDefault="007950FA">
      <w:pPr>
        <w:spacing w:line="360" w:lineRule="auto"/>
        <w:jc w:val="both"/>
      </w:pPr>
      <w:r>
        <w:rPr>
          <w:rFonts w:ascii="Times New Roman" w:hAnsi="Times New Roman" w:cs="Times New Roman"/>
          <w:color w:val="000000"/>
          <w:sz w:val="24"/>
          <w:szCs w:val="24"/>
        </w:rPr>
        <w:t>1. Un aranjament transfrontalier care implică utilizarea unor reglementări unilaterale privind ”zona de siguranță”, potrivit înțelesului atribuit acestei noțiuni de Liniile directoare privind</w:t>
      </w:r>
      <w:r>
        <w:rPr>
          <w:rFonts w:ascii="Times New Roman" w:hAnsi="Times New Roman" w:cs="Times New Roman"/>
          <w:color w:val="000000"/>
          <w:sz w:val="24"/>
          <w:szCs w:val="24"/>
        </w:rPr>
        <w:t xml:space="preserve"> prețurile de transfer emise de către Organizația pentru Cooperare și Dezvoltare Economică pentru societăţile multinaţionale şi administraţiile fiscale, cu modificările și completările ulterioare.</w:t>
      </w:r>
    </w:p>
    <w:p w:rsidR="00B07F06" w:rsidRDefault="007950FA">
      <w:pPr>
        <w:spacing w:line="360" w:lineRule="auto"/>
        <w:jc w:val="both"/>
      </w:pPr>
      <w:r>
        <w:rPr>
          <w:rFonts w:ascii="Times New Roman" w:hAnsi="Times New Roman" w:cs="Times New Roman"/>
          <w:color w:val="000000"/>
          <w:sz w:val="24"/>
          <w:szCs w:val="24"/>
        </w:rPr>
        <w:lastRenderedPageBreak/>
        <w:t>2. Un aranjament transfrontalier care implică transferul de</w:t>
      </w:r>
      <w:r>
        <w:rPr>
          <w:rFonts w:ascii="Times New Roman" w:hAnsi="Times New Roman" w:cs="Times New Roman"/>
          <w:color w:val="000000"/>
          <w:sz w:val="24"/>
          <w:szCs w:val="24"/>
        </w:rPr>
        <w:t xml:space="preserve"> active necorporale greu de evaluat. Noțiunea ”active necorporale greu de evaluat” vizează activele necorporale sau drepturile asupra acestora pentru care, la momentul transferului lor între întreprinderi asociate:</w:t>
      </w:r>
    </w:p>
    <w:p w:rsidR="00B07F06" w:rsidRDefault="007950FA">
      <w:pPr>
        <w:spacing w:line="360" w:lineRule="auto"/>
        <w:ind w:firstLine="269"/>
        <w:jc w:val="both"/>
      </w:pPr>
      <w:r>
        <w:rPr>
          <w:rFonts w:ascii="Times New Roman" w:hAnsi="Times New Roman" w:cs="Times New Roman"/>
          <w:color w:val="000000"/>
          <w:sz w:val="24"/>
          <w:szCs w:val="24"/>
        </w:rPr>
        <w:t xml:space="preserve">a) nu există elemente comparabile </w:t>
      </w:r>
      <w:r>
        <w:rPr>
          <w:rFonts w:ascii="Times New Roman" w:hAnsi="Times New Roman" w:cs="Times New Roman"/>
          <w:color w:val="000000"/>
          <w:sz w:val="24"/>
          <w:szCs w:val="24"/>
          <w:lang w:val="en-US"/>
        </w:rPr>
        <w:t>fiabile</w:t>
      </w:r>
      <w:r>
        <w:rPr>
          <w:rFonts w:ascii="Times New Roman" w:hAnsi="Times New Roman" w:cs="Times New Roman"/>
          <w:color w:val="000000"/>
          <w:sz w:val="24"/>
          <w:szCs w:val="24"/>
        </w:rPr>
        <w:t>; și</w:t>
      </w:r>
    </w:p>
    <w:p w:rsidR="00B07F06" w:rsidRDefault="007950FA">
      <w:pPr>
        <w:spacing w:line="360" w:lineRule="auto"/>
        <w:ind w:firstLine="269"/>
        <w:jc w:val="both"/>
      </w:pPr>
      <w:r>
        <w:rPr>
          <w:rFonts w:ascii="Times New Roman" w:hAnsi="Times New Roman" w:cs="Times New Roman"/>
          <w:color w:val="000000"/>
          <w:sz w:val="24"/>
          <w:szCs w:val="24"/>
        </w:rPr>
        <w:t xml:space="preserve">b) la data la care a fost încheiată tranzacția, previziunile privind viitoarele fluxuri de numerar sau veniturile preconizate a fi obținute din activul necorporal transferat sau ipotezele utilizate în evaluarea activului necorporal sunt foarte </w:t>
      </w:r>
      <w:r>
        <w:rPr>
          <w:rFonts w:ascii="Times New Roman" w:hAnsi="Times New Roman" w:cs="Times New Roman"/>
          <w:color w:val="000000"/>
          <w:sz w:val="24"/>
          <w:szCs w:val="24"/>
        </w:rPr>
        <w:t>incerte, generând dificultăți în preconizarea nivelului final de succes al activului necorporal la momentul transferului.</w:t>
      </w:r>
    </w:p>
    <w:p w:rsidR="00B07F06" w:rsidRPr="001C3844" w:rsidRDefault="007950FA" w:rsidP="001C3844">
      <w:pPr>
        <w:spacing w:line="360" w:lineRule="auto"/>
        <w:jc w:val="both"/>
      </w:pPr>
      <w:r>
        <w:rPr>
          <w:rFonts w:ascii="Times New Roman" w:hAnsi="Times New Roman" w:cs="Times New Roman"/>
          <w:color w:val="000000"/>
          <w:sz w:val="24"/>
          <w:szCs w:val="24"/>
        </w:rPr>
        <w:t xml:space="preserve">3. Un aranjament transfrontalier care implică un transfer </w:t>
      </w:r>
      <w:bookmarkStart w:id="0" w:name="__DdeLink__7275_213968782"/>
      <w:r>
        <w:rPr>
          <w:rFonts w:ascii="Times New Roman" w:hAnsi="Times New Roman" w:cs="Times New Roman"/>
          <w:color w:val="000000"/>
          <w:sz w:val="24"/>
          <w:szCs w:val="24"/>
        </w:rPr>
        <w:t>transfrontalier</w:t>
      </w:r>
      <w:bookmarkEnd w:id="0"/>
      <w:r>
        <w:rPr>
          <w:rFonts w:ascii="Times New Roman" w:hAnsi="Times New Roman" w:cs="Times New Roman"/>
          <w:color w:val="000000"/>
          <w:sz w:val="24"/>
          <w:szCs w:val="24"/>
        </w:rPr>
        <w:t xml:space="preserve"> de funcții și/sau riscuri și/sau de active în interiorul unu</w:t>
      </w:r>
      <w:r>
        <w:rPr>
          <w:rFonts w:ascii="Times New Roman" w:hAnsi="Times New Roman" w:cs="Times New Roman"/>
          <w:color w:val="000000"/>
          <w:sz w:val="24"/>
          <w:szCs w:val="24"/>
        </w:rPr>
        <w:t xml:space="preserve">i grup, dacă veniturile anuale preconizate, determinate înainte de a calcula impactul dobânzilor și a impozitelor asupra acestora (EBIT), în perioada de 3 ani ulterioară transferului, de către entitatea/entitățile între care se realizează transferul, sunt </w:t>
      </w:r>
      <w:r>
        <w:rPr>
          <w:rFonts w:ascii="Times New Roman" w:hAnsi="Times New Roman" w:cs="Times New Roman"/>
          <w:color w:val="000000"/>
          <w:sz w:val="24"/>
          <w:szCs w:val="24"/>
        </w:rPr>
        <w:t>mai mici de 50% din EBIT anuale preconizate de către această entitate/aceste entități care efectuează transferul dacă transferul nu ar fi avut loc.</w:t>
      </w:r>
      <w:bookmarkStart w:id="1" w:name="_GoBack"/>
      <w:bookmarkEnd w:id="1"/>
    </w:p>
    <w:sectPr w:rsidR="00B07F06" w:rsidRPr="001C3844">
      <w:footerReference w:type="default" r:id="rId8"/>
      <w:pgSz w:w="11906" w:h="16838"/>
      <w:pgMar w:top="1440" w:right="1440" w:bottom="1440" w:left="1440"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FA" w:rsidRDefault="007950FA">
      <w:pPr>
        <w:spacing w:after="0" w:line="240" w:lineRule="auto"/>
      </w:pPr>
      <w:r>
        <w:separator/>
      </w:r>
    </w:p>
  </w:endnote>
  <w:endnote w:type="continuationSeparator" w:id="0">
    <w:p w:rsidR="007950FA" w:rsidRDefault="0079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57028"/>
      <w:docPartObj>
        <w:docPartGallery w:val="Page Numbers (Bottom of Page)"/>
        <w:docPartUnique/>
      </w:docPartObj>
    </w:sdtPr>
    <w:sdtEndPr/>
    <w:sdtContent>
      <w:p w:rsidR="00B07F06" w:rsidRDefault="007950FA">
        <w:pPr>
          <w:pStyle w:val="Footer"/>
          <w:jc w:val="center"/>
        </w:pPr>
        <w:r>
          <w:fldChar w:fldCharType="begin"/>
        </w:r>
        <w:r>
          <w:instrText>PAGE</w:instrText>
        </w:r>
        <w:r>
          <w:fldChar w:fldCharType="separate"/>
        </w:r>
        <w:r w:rsidR="001C3844">
          <w:rPr>
            <w:noProof/>
          </w:rPr>
          <w:t>4</w:t>
        </w:r>
        <w:r>
          <w:fldChar w:fldCharType="end"/>
        </w:r>
      </w:p>
    </w:sdtContent>
  </w:sdt>
  <w:p w:rsidR="00B07F06" w:rsidRDefault="00B07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FA" w:rsidRDefault="007950FA">
      <w:pPr>
        <w:spacing w:after="0" w:line="240" w:lineRule="auto"/>
      </w:pPr>
      <w:r>
        <w:separator/>
      </w:r>
    </w:p>
  </w:footnote>
  <w:footnote w:type="continuationSeparator" w:id="0">
    <w:p w:rsidR="007950FA" w:rsidRDefault="00795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F06"/>
    <w:rsid w:val="001C3844"/>
    <w:rsid w:val="007950FA"/>
    <w:rsid w:val="00B07F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C6390"/>
  </w:style>
  <w:style w:type="character" w:customStyle="1" w:styleId="FooterChar">
    <w:name w:val="Footer Char"/>
    <w:basedOn w:val="DefaultParagraphFont"/>
    <w:link w:val="Footer"/>
    <w:uiPriority w:val="99"/>
    <w:qFormat/>
    <w:rsid w:val="00FC6390"/>
  </w:style>
  <w:style w:type="character" w:customStyle="1" w:styleId="BalloonTextChar">
    <w:name w:val="Balloon Text Char"/>
    <w:basedOn w:val="DefaultParagraphFont"/>
    <w:link w:val="BalloonText"/>
    <w:uiPriority w:val="99"/>
    <w:semiHidden/>
    <w:qFormat/>
    <w:rsid w:val="001A4CD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95315"/>
    <w:pPr>
      <w:ind w:left="720"/>
      <w:contextualSpacing/>
    </w:pPr>
  </w:style>
  <w:style w:type="paragraph" w:styleId="Header">
    <w:name w:val="header"/>
    <w:basedOn w:val="Normal"/>
    <w:link w:val="HeaderChar"/>
    <w:uiPriority w:val="99"/>
    <w:unhideWhenUsed/>
    <w:rsid w:val="00FC6390"/>
    <w:pPr>
      <w:tabs>
        <w:tab w:val="center" w:pos="4513"/>
        <w:tab w:val="right" w:pos="9026"/>
      </w:tabs>
      <w:spacing w:after="0" w:line="240" w:lineRule="auto"/>
    </w:pPr>
  </w:style>
  <w:style w:type="paragraph" w:styleId="Footer">
    <w:name w:val="footer"/>
    <w:basedOn w:val="Normal"/>
    <w:link w:val="FooterChar"/>
    <w:uiPriority w:val="99"/>
    <w:unhideWhenUsed/>
    <w:rsid w:val="00FC6390"/>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1A4CD0"/>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D51A-8D75-4FD5-B1CC-0599FE8D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1475</Words>
  <Characters>8560</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CRANGĂ</dc:creator>
  <dc:description/>
  <cp:lastModifiedBy>Alex Boiciuc</cp:lastModifiedBy>
  <cp:revision>93</cp:revision>
  <cp:lastPrinted>2020-01-06T14:17:00Z</cp:lastPrinted>
  <dcterms:created xsi:type="dcterms:W3CDTF">2019-08-21T08:20:00Z</dcterms:created>
  <dcterms:modified xsi:type="dcterms:W3CDTF">2020-01-10T12:12:00Z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