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62" w:rsidRPr="00EE5F41" w:rsidRDefault="00483B1E">
      <w:pPr>
        <w:rPr>
          <w:rFonts w:cstheme="minorHAnsi"/>
          <w:b/>
          <w:lang w:val="ro-RO"/>
        </w:rPr>
      </w:pPr>
      <w:r>
        <w:rPr>
          <w:rFonts w:cstheme="minorHAnsi"/>
          <w:b/>
          <w:lang w:val="ro-RO"/>
        </w:rPr>
        <w:t>Vineri</w:t>
      </w:r>
      <w:r w:rsidR="00D77AAD" w:rsidRPr="00EE5F41">
        <w:rPr>
          <w:rFonts w:cstheme="minorHAnsi"/>
          <w:b/>
          <w:lang w:val="ro-RO"/>
        </w:rPr>
        <w:t xml:space="preserve"> este termenul-limită pentru:</w:t>
      </w:r>
    </w:p>
    <w:p w:rsidR="00D77AAD" w:rsidRPr="00EE5F41" w:rsidRDefault="00D77AAD" w:rsidP="00D77AAD">
      <w:pPr>
        <w:pStyle w:val="NormalWeb"/>
        <w:spacing w:before="390" w:beforeAutospacing="0" w:after="390" w:afterAutospacing="0"/>
        <w:rPr>
          <w:rFonts w:asciiTheme="minorHAnsi" w:hAnsiTheme="minorHAnsi" w:cstheme="minorHAnsi"/>
          <w:color w:val="515151"/>
          <w:sz w:val="22"/>
          <w:szCs w:val="22"/>
        </w:rPr>
      </w:pPr>
      <w:r w:rsidRPr="00EE5F41">
        <w:rPr>
          <w:rStyle w:val="Strong"/>
          <w:rFonts w:asciiTheme="minorHAnsi" w:hAnsiTheme="minorHAnsi" w:cstheme="minorHAnsi"/>
          <w:color w:val="515151"/>
          <w:sz w:val="22"/>
          <w:szCs w:val="22"/>
        </w:rPr>
        <w:t>Declarația de înregistrare fiscală/Declarația de mențiuni pentru persoane juridice, asocieri și alte entități fără personalitate juridică, Formularul 010</w:t>
      </w:r>
      <w:r w:rsidRPr="00EE5F41">
        <w:rPr>
          <w:rFonts w:asciiTheme="minorHAnsi" w:hAnsiTheme="minorHAnsi" w:cstheme="minorHAnsi"/>
          <w:color w:val="515151"/>
          <w:sz w:val="22"/>
          <w:szCs w:val="22"/>
        </w:rPr>
        <w:t>. Se depune de către persoanele juridice care au obligația să se înregistreze ca plătitori de TVA în urma depășirii plafonului legal de scutire.</w:t>
      </w:r>
      <w:r w:rsidR="00A0242A">
        <w:rPr>
          <w:rFonts w:asciiTheme="minorHAnsi" w:hAnsiTheme="minorHAnsi" w:cstheme="minorHAnsi"/>
          <w:color w:val="515151"/>
          <w:sz w:val="22"/>
          <w:szCs w:val="22"/>
        </w:rPr>
        <w:t xml:space="preserve"> </w:t>
      </w:r>
      <w:r w:rsidRPr="00EE5F41">
        <w:rPr>
          <w:rFonts w:asciiTheme="minorHAnsi" w:hAnsiTheme="minorHAnsi" w:cstheme="minorHAnsi"/>
          <w:color w:val="515151"/>
          <w:sz w:val="22"/>
          <w:szCs w:val="22"/>
        </w:rPr>
        <w:t>Persoana impozabilă care aplică regimul special de scutire şi a cărei cifră de afaceri este mai mare sau egală cu plafonul de scutire trebuie să solicite înregistrarea în scopuri de TVA, în termen de zece zile de la data atingerii ori depăşirii plafonului. Data atingerii sau depăşirii plafonului se consideră a fi prima zi a lunii calendaristice următoare celei în care plafonul a fost atins ori depăşit.</w:t>
      </w:r>
    </w:p>
    <w:p w:rsidR="00D77AAD" w:rsidRPr="00EE5F41" w:rsidRDefault="00D77AAD" w:rsidP="00D77AAD">
      <w:pPr>
        <w:pStyle w:val="NormalWeb"/>
        <w:spacing w:before="390" w:beforeAutospacing="0" w:after="390" w:afterAutospacing="0"/>
        <w:rPr>
          <w:rFonts w:asciiTheme="minorHAnsi" w:hAnsiTheme="minorHAnsi" w:cstheme="minorHAnsi"/>
          <w:color w:val="515151"/>
          <w:sz w:val="22"/>
          <w:szCs w:val="22"/>
        </w:rPr>
      </w:pPr>
      <w:r w:rsidRPr="00EE5F41">
        <w:rPr>
          <w:rStyle w:val="Strong"/>
          <w:rFonts w:asciiTheme="minorHAnsi" w:hAnsiTheme="minorHAnsi" w:cstheme="minorHAnsi"/>
          <w:color w:val="515151"/>
          <w:sz w:val="22"/>
          <w:szCs w:val="22"/>
        </w:rPr>
        <w:t>Declaraţia de înregistrare fiscală/Declaraţia de menţiuni pentru persoanele fizice române, Formularul 020</w:t>
      </w:r>
      <w:r w:rsidRPr="00EE5F41">
        <w:rPr>
          <w:rFonts w:asciiTheme="minorHAnsi" w:hAnsiTheme="minorHAnsi" w:cstheme="minorHAnsi"/>
          <w:color w:val="515151"/>
          <w:sz w:val="22"/>
          <w:szCs w:val="22"/>
        </w:rPr>
        <w:t>. Se depune de</w:t>
      </w:r>
      <w:r w:rsidR="00A0242A">
        <w:rPr>
          <w:rFonts w:asciiTheme="minorHAnsi" w:hAnsiTheme="minorHAnsi" w:cstheme="minorHAnsi"/>
          <w:color w:val="515151"/>
          <w:sz w:val="22"/>
          <w:szCs w:val="22"/>
        </w:rPr>
        <w:t xml:space="preserve"> persoanele fizice, altele decâ</w:t>
      </w:r>
      <w:r w:rsidRPr="00EE5F41">
        <w:rPr>
          <w:rFonts w:asciiTheme="minorHAnsi" w:hAnsiTheme="minorHAnsi" w:cstheme="minorHAnsi"/>
          <w:color w:val="515151"/>
          <w:sz w:val="22"/>
          <w:szCs w:val="22"/>
        </w:rPr>
        <w:t>t cele care desfăşoară activităţi economice în mod independent sau exercită profesii libere, care au obligaţia să se înregistreze în scopuri de TVA în termen de zece zile de la data atingerii ori depăşirii plafonului legal de scutire. Data atingerii sau depăşirii plafonului se consideră a fi prima zi a lunii calendaristice următoare celei în care plafonul a fost atins ori depăşit.</w:t>
      </w:r>
    </w:p>
    <w:p w:rsidR="00D77AAD" w:rsidRPr="00EE5F41" w:rsidRDefault="00D77AAD" w:rsidP="00D77AAD">
      <w:pPr>
        <w:pStyle w:val="NormalWeb"/>
        <w:spacing w:before="390" w:beforeAutospacing="0" w:after="390" w:afterAutospacing="0"/>
        <w:rPr>
          <w:rFonts w:asciiTheme="minorHAnsi" w:hAnsiTheme="minorHAnsi" w:cstheme="minorHAnsi"/>
          <w:color w:val="515151"/>
          <w:sz w:val="22"/>
          <w:szCs w:val="22"/>
        </w:rPr>
      </w:pPr>
      <w:r w:rsidRPr="00EE5F41">
        <w:rPr>
          <w:rStyle w:val="Strong"/>
          <w:rFonts w:asciiTheme="minorHAnsi" w:hAnsiTheme="minorHAnsi" w:cstheme="minorHAnsi"/>
          <w:color w:val="515151"/>
          <w:sz w:val="22"/>
          <w:szCs w:val="22"/>
        </w:rPr>
        <w:t>Declaraţia de înregistrare fiscală/Declaraţia de menţiuni pentru persoanele fizice care desfăşoară activităţi economice în mod independent sau exercită profesii libere, Formularul 070</w:t>
      </w:r>
      <w:r w:rsidRPr="00EE5F41">
        <w:rPr>
          <w:rFonts w:asciiTheme="minorHAnsi" w:hAnsiTheme="minorHAnsi" w:cstheme="minorHAnsi"/>
          <w:color w:val="515151"/>
          <w:sz w:val="22"/>
          <w:szCs w:val="22"/>
        </w:rPr>
        <w:t>. Se depune de persoanele fizice care desfăşoară activităţi economice în mod independent sau exercită profesii libere, care au obligaţia să se înregistreze ca plătitori de TVA în urma depăşirii plafonului legal de scutire. Data atingerii sau depăşirii plafonului se consideră a fi prima zi a lunii calendaristice următoare celei în care plafonul a fost atins ori depăşit.</w:t>
      </w:r>
    </w:p>
    <w:p w:rsidR="00D77AAD" w:rsidRPr="00EE5F41" w:rsidRDefault="00D77AAD" w:rsidP="00D77AAD">
      <w:pPr>
        <w:pStyle w:val="NormalWeb"/>
        <w:spacing w:before="390" w:beforeAutospacing="0" w:after="390" w:afterAutospacing="0"/>
        <w:rPr>
          <w:rFonts w:asciiTheme="minorHAnsi" w:hAnsiTheme="minorHAnsi" w:cstheme="minorHAnsi"/>
          <w:color w:val="515151"/>
          <w:sz w:val="22"/>
          <w:szCs w:val="22"/>
        </w:rPr>
      </w:pPr>
      <w:r w:rsidRPr="00EE5F41">
        <w:rPr>
          <w:rStyle w:val="Strong"/>
          <w:rFonts w:asciiTheme="minorHAnsi" w:hAnsiTheme="minorHAnsi" w:cstheme="minorHAnsi"/>
          <w:color w:val="515151"/>
          <w:sz w:val="22"/>
          <w:szCs w:val="22"/>
        </w:rPr>
        <w:t>Notificarea privind aplicarea/încetarea aplicării regimului special pentru agricultori, Formularul 087</w:t>
      </w:r>
      <w:r w:rsidRPr="00EE5F41">
        <w:rPr>
          <w:rFonts w:asciiTheme="minorHAnsi" w:hAnsiTheme="minorHAnsi" w:cstheme="minorHAnsi"/>
          <w:color w:val="515151"/>
          <w:sz w:val="22"/>
          <w:szCs w:val="22"/>
        </w:rPr>
        <w:t>. Se depune de către persoanele impozabile înregistrate în scopuri de TVA conform art. 316 din Codul fiscal, care optează pentru aplicarea regimului special pentru agricultori.</w:t>
      </w:r>
    </w:p>
    <w:p w:rsidR="00D77AAD" w:rsidRPr="00EE5F41" w:rsidRDefault="00D77AAD" w:rsidP="00D77AAD">
      <w:pPr>
        <w:pStyle w:val="NormalWeb"/>
        <w:spacing w:before="390" w:beforeAutospacing="0" w:after="390" w:afterAutospacing="0"/>
        <w:rPr>
          <w:rFonts w:asciiTheme="minorHAnsi" w:hAnsiTheme="minorHAnsi" w:cstheme="minorHAnsi"/>
          <w:color w:val="515151"/>
          <w:sz w:val="22"/>
          <w:szCs w:val="22"/>
        </w:rPr>
      </w:pPr>
      <w:r w:rsidRPr="00EE5F41">
        <w:rPr>
          <w:rFonts w:asciiTheme="minorHAnsi" w:hAnsiTheme="minorHAnsi" w:cstheme="minorHAnsi"/>
          <w:color w:val="515151"/>
          <w:sz w:val="22"/>
          <w:szCs w:val="22"/>
        </w:rPr>
        <w:t xml:space="preserve">Totodată, până </w:t>
      </w:r>
      <w:r w:rsidR="00483B1E">
        <w:rPr>
          <w:rFonts w:asciiTheme="minorHAnsi" w:hAnsiTheme="minorHAnsi" w:cstheme="minorHAnsi"/>
          <w:color w:val="515151"/>
          <w:sz w:val="22"/>
          <w:szCs w:val="22"/>
        </w:rPr>
        <w:t>vineri</w:t>
      </w:r>
      <w:r w:rsidRPr="00EE5F41">
        <w:rPr>
          <w:rFonts w:asciiTheme="minorHAnsi" w:hAnsiTheme="minorHAnsi" w:cstheme="minorHAnsi"/>
          <w:color w:val="515151"/>
          <w:sz w:val="22"/>
          <w:szCs w:val="22"/>
        </w:rPr>
        <w:t xml:space="preserve"> trebuie plătite și următoarele:</w:t>
      </w:r>
    </w:p>
    <w:p w:rsidR="00D77AAD" w:rsidRPr="00EE5F41" w:rsidRDefault="00D77AAD" w:rsidP="00D77AAD">
      <w:pPr>
        <w:pStyle w:val="ListParagraph"/>
        <w:numPr>
          <w:ilvl w:val="0"/>
          <w:numId w:val="1"/>
        </w:numPr>
        <w:spacing w:before="100" w:beforeAutospacing="1" w:after="100" w:afterAutospacing="1" w:line="240" w:lineRule="auto"/>
        <w:rPr>
          <w:rFonts w:eastAsia="Times New Roman" w:cstheme="minorHAnsi"/>
          <w:color w:val="515151"/>
        </w:rPr>
      </w:pPr>
      <w:r w:rsidRPr="00EE5F41">
        <w:rPr>
          <w:rFonts w:eastAsia="Times New Roman" w:cstheme="minorHAnsi"/>
          <w:b/>
          <w:bCs/>
          <w:color w:val="515151"/>
        </w:rPr>
        <w:t>Plata taxei pentru servicii de reclamă şi publicitate</w:t>
      </w:r>
      <w:r w:rsidRPr="00EE5F41">
        <w:rPr>
          <w:rFonts w:eastAsia="Times New Roman" w:cstheme="minorHAnsi"/>
          <w:color w:val="515151"/>
        </w:rPr>
        <w:t>. Taxa pentru servicii de reclamă şi publicitate se varsă la bugetul local, lunar, până la data de zece a lunii următoare celei în care a intrat în vigoare contractul de prestări de servicii de reclamă şi publicitate şi trebuie achitată de către orice persoană care beneficiază de servicii de reclamă şi publicitate în România în baza unui contract sau a unui alt fel de înţelegere încheiată cu altă persoană, cu excepţia serviciilor de reclamă şi publicitate realizate prin mijloacele de informare în masă scrise şi audiovizuale;</w:t>
      </w:r>
    </w:p>
    <w:p w:rsidR="00D77AAD" w:rsidRPr="00D77AAD" w:rsidRDefault="00D77AAD" w:rsidP="00D77AAD">
      <w:pPr>
        <w:numPr>
          <w:ilvl w:val="0"/>
          <w:numId w:val="1"/>
        </w:numPr>
        <w:spacing w:before="100" w:beforeAutospacing="1" w:after="100" w:afterAutospacing="1" w:line="240" w:lineRule="auto"/>
        <w:rPr>
          <w:rFonts w:eastAsia="Times New Roman" w:cstheme="minorHAnsi"/>
          <w:color w:val="515151"/>
        </w:rPr>
      </w:pPr>
      <w:r w:rsidRPr="00EE5F41">
        <w:rPr>
          <w:rFonts w:eastAsia="Times New Roman" w:cstheme="minorHAnsi"/>
          <w:b/>
          <w:bCs/>
          <w:color w:val="515151"/>
        </w:rPr>
        <w:t>Plata impozitului pe spectacole şi depunerea declaraţiei privind încasările din spectacole</w:t>
      </w:r>
      <w:r w:rsidRPr="00D77AAD">
        <w:rPr>
          <w:rFonts w:eastAsia="Times New Roman" w:cstheme="minorHAnsi"/>
          <w:color w:val="515151"/>
        </w:rPr>
        <w:t>. Impozitul pe spectacole se plăteşte lunar până la data de zece, inclusiv, a lunii următoare celei în care a avut loc spectacolul la bugetele locale ale comunelor, ale oraşelor sau ale municipiilor, după caz, în a căror rază de competenţă se desfăşoară. O astfel de taxă trebuie plătită de persoanele fizice şi persoanele juridice care organizează manifestări artistice, competiţii sportive sau orice altă activitate distractivă, cu caracter permanent sau ocazional, cu excepţia spectacolelor organizate în scopuri umanitare.</w:t>
      </w:r>
    </w:p>
    <w:p w:rsidR="00D77AAD" w:rsidRPr="00EE5F41" w:rsidRDefault="00D77AAD" w:rsidP="00D77AAD">
      <w:pPr>
        <w:spacing w:before="100" w:beforeAutospacing="1" w:after="100" w:afterAutospacing="1" w:line="240" w:lineRule="auto"/>
        <w:rPr>
          <w:rFonts w:eastAsia="Times New Roman" w:cstheme="minorHAnsi"/>
          <w:color w:val="515151"/>
        </w:rPr>
      </w:pPr>
    </w:p>
    <w:p w:rsidR="00D77AAD" w:rsidRPr="00EE5F41" w:rsidRDefault="00483B1E" w:rsidP="00D77AAD">
      <w:pPr>
        <w:spacing w:before="100" w:beforeAutospacing="1" w:after="100" w:afterAutospacing="1" w:line="240" w:lineRule="auto"/>
        <w:jc w:val="both"/>
        <w:rPr>
          <w:rFonts w:eastAsia="Times New Roman" w:cstheme="minorHAnsi"/>
          <w:b/>
          <w:color w:val="515151"/>
        </w:rPr>
      </w:pPr>
      <w:r>
        <w:rPr>
          <w:rFonts w:eastAsia="Times New Roman" w:cstheme="minorHAnsi"/>
          <w:b/>
          <w:color w:val="515151"/>
        </w:rPr>
        <w:lastRenderedPageBreak/>
        <w:t xml:space="preserve">15 noiembrie </w:t>
      </w:r>
      <w:r w:rsidR="00D77AAD" w:rsidRPr="00EE5F41">
        <w:rPr>
          <w:rFonts w:eastAsia="Times New Roman" w:cstheme="minorHAnsi"/>
          <w:b/>
          <w:color w:val="515151"/>
        </w:rPr>
        <w:t>va fi ultima zi pentru efectuarea următoarelor raportări:</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Situaţia eliberărilor pentru consum de ţigarete/ţigări şi ţigări de foi în luna ... anul ....</w:t>
      </w:r>
      <w:r w:rsidRPr="00D77AAD">
        <w:rPr>
          <w:rFonts w:eastAsia="Times New Roman" w:cstheme="minorHAnsi"/>
          <w:color w:val="515151"/>
        </w:rPr>
        <w:t> Se depune de către antrepozitarii autorizaţi, destinatarii înregistraţi sau importatorii autorizaţi pentru produse din grupa tutunului prelucrat.</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Situaţia eliberărilor pentru consum de tutun fin tăiat, destinat rulării în ţigarete/alte tutunuri de fumat în luna ... anul ....</w:t>
      </w:r>
      <w:r w:rsidRPr="00D77AAD">
        <w:rPr>
          <w:rFonts w:eastAsia="Times New Roman" w:cstheme="minorHAnsi"/>
          <w:color w:val="515151"/>
        </w:rPr>
        <w:t> Se depune de către antrepozitarii autorizaţi, destinatarii înregistraţi sau importatorii autorizaţi pentru produse din grupa tutunului prelucrat.</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centralizatoare privind achizițiile/utilizările de produse accizabile și livrările de produse finite rezultate în luna ... anul ...</w:t>
      </w:r>
      <w:r w:rsidRPr="00D77AAD">
        <w:rPr>
          <w:rFonts w:eastAsia="Times New Roman" w:cstheme="minorHAnsi"/>
          <w:color w:val="515151"/>
        </w:rPr>
        <w:t>, pentru luna precedentă. Se depune de către operatorii economici care dețin autorizații de utilizator final (produse energetice, alcool etilic şi produse alcoolice).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centralizatoare privind achizițiile și livrările de produse accizabile pentru luna precedentă</w:t>
      </w:r>
      <w:r w:rsidRPr="00D77AAD">
        <w:rPr>
          <w:rFonts w:eastAsia="Times New Roman" w:cstheme="minorHAnsi"/>
          <w:color w:val="515151"/>
        </w:rPr>
        <w:t>. Se depune de către destinatarii înregistraţi şi reprezentanţii fiscali pentru achiziţiile şi livrările de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alcool și băuturi spirtoase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vinuri/bauturi fermentate/produse intermediare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bere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tutunuri prelucrate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produse energetice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depozitare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Jurnalele pentru luna precedentă privind livrările de combustibil destinat utilizării exclusiv pentru aviație sau navigaţie</w:t>
      </w:r>
      <w:r w:rsidRPr="00D77AAD">
        <w:rPr>
          <w:rFonts w:eastAsia="Times New Roman" w:cstheme="minorHAnsi"/>
          <w:color w:val="515151"/>
        </w:rPr>
        <w:t>. Trebuie depuse de către antrepozitarii autorizaţi pentru producţie/ depozitare.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lastRenderedPageBreak/>
        <w:t>Jurnalele pentru luna precedentă privind achizițiile/ livrările de combustibil destinat utilizării exclusiv pentru aviație sau navigaţie</w:t>
      </w:r>
      <w:r w:rsidRPr="00D77AAD">
        <w:rPr>
          <w:rFonts w:eastAsia="Times New Roman" w:cstheme="minorHAnsi"/>
          <w:color w:val="515151"/>
        </w:rPr>
        <w:t>. Se depun de către antrepozitarii autorizați pentru depozitare.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privind livrările de produse accizabile în luna ... anul ... pentru luna precedentă</w:t>
      </w:r>
      <w:r w:rsidRPr="00D77AAD">
        <w:rPr>
          <w:rFonts w:eastAsia="Times New Roman" w:cstheme="minorHAnsi"/>
          <w:color w:val="515151"/>
        </w:rPr>
        <w:t>. Se depune de către operatorii economici care deţin autorizaţii de expeditor înregistrat.</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Evidența achiziționării, utilizării și returnării marcajelor pentru luna precedentă</w:t>
      </w:r>
      <w:r w:rsidRPr="00D77AAD">
        <w:rPr>
          <w:rFonts w:eastAsia="Times New Roman" w:cstheme="minorHAnsi"/>
          <w:color w:val="515151"/>
        </w:rPr>
        <w:t>. Se depune de către antrepozitarii autorizaţi, destinatarii înregistraţi şi importatorii autorizaţi de produse supuse marcării.</w:t>
      </w:r>
    </w:p>
    <w:p w:rsidR="00483B1E" w:rsidRDefault="00D77AAD" w:rsidP="00483B1E">
      <w:pPr>
        <w:spacing w:before="100" w:beforeAutospacing="1" w:after="100" w:afterAutospacing="1" w:line="240" w:lineRule="auto"/>
        <w:jc w:val="both"/>
        <w:rPr>
          <w:rFonts w:cstheme="minorHAnsi"/>
          <w:color w:val="515151"/>
          <w:shd w:val="clear" w:color="auto" w:fill="FFFFFF"/>
        </w:rPr>
      </w:pPr>
      <w:r w:rsidRPr="00EE5F41">
        <w:rPr>
          <w:rStyle w:val="Strong"/>
          <w:rFonts w:cstheme="minorHAnsi"/>
          <w:color w:val="515151"/>
          <w:shd w:val="clear" w:color="auto" w:fill="FFFFFF"/>
        </w:rPr>
        <w:t>Important! </w:t>
      </w:r>
      <w:r w:rsidRPr="00EE5F41">
        <w:rPr>
          <w:rFonts w:cstheme="minorHAnsi"/>
          <w:color w:val="515151"/>
          <w:shd w:val="clear" w:color="auto" w:fill="FFFFFF"/>
        </w:rPr>
        <w:t xml:space="preserve">Cu toate că nu este declarație fiscală, </w:t>
      </w:r>
      <w:r w:rsidR="00A0242A">
        <w:rPr>
          <w:rFonts w:cstheme="minorHAnsi"/>
          <w:color w:val="515151"/>
          <w:shd w:val="clear" w:color="auto" w:fill="FFFFFF"/>
        </w:rPr>
        <w:t>îți reamintim</w:t>
      </w:r>
      <w:r w:rsidRPr="00EE5F41">
        <w:rPr>
          <w:rFonts w:cstheme="minorHAnsi"/>
          <w:color w:val="515151"/>
          <w:shd w:val="clear" w:color="auto" w:fill="FFFFFF"/>
        </w:rPr>
        <w:t xml:space="preserve"> că, până pe 15 </w:t>
      </w:r>
      <w:r w:rsidR="00483B1E">
        <w:rPr>
          <w:rFonts w:cstheme="minorHAnsi"/>
          <w:color w:val="515151"/>
          <w:shd w:val="clear" w:color="auto" w:fill="FFFFFF"/>
        </w:rPr>
        <w:t>noiembrie</w:t>
      </w:r>
      <w:r w:rsidRPr="00EE5F41">
        <w:rPr>
          <w:rFonts w:cstheme="minorHAnsi"/>
          <w:color w:val="515151"/>
          <w:shd w:val="clear" w:color="auto" w:fill="FFFFFF"/>
        </w:rPr>
        <w:t xml:space="preserve">, trebuie depusă declarația </w:t>
      </w:r>
      <w:r w:rsidRPr="00EE5F41">
        <w:rPr>
          <w:rFonts w:cstheme="minorHAnsi"/>
          <w:b/>
          <w:color w:val="515151"/>
          <w:shd w:val="clear" w:color="auto" w:fill="FFFFFF"/>
        </w:rPr>
        <w:t>Intrastat</w:t>
      </w:r>
      <w:r w:rsidRPr="00EE5F41">
        <w:rPr>
          <w:rFonts w:cstheme="minorHAnsi"/>
          <w:color w:val="515151"/>
          <w:shd w:val="clear" w:color="auto" w:fill="FFFFFF"/>
        </w:rPr>
        <w:t>, al cărei prag valoric este în 2017 de </w:t>
      </w:r>
      <w:r w:rsidRPr="00EE5F41">
        <w:rPr>
          <w:rStyle w:val="Strong"/>
          <w:rFonts w:cstheme="minorHAnsi"/>
          <w:color w:val="515151"/>
          <w:shd w:val="clear" w:color="auto" w:fill="FFFFFF"/>
        </w:rPr>
        <w:t>900.000 de lei</w:t>
      </w:r>
      <w:r w:rsidRPr="00EE5F41">
        <w:rPr>
          <w:rFonts w:cstheme="minorHAnsi"/>
          <w:color w:val="515151"/>
          <w:shd w:val="clear" w:color="auto" w:fill="FFFFFF"/>
        </w:rPr>
        <w:t>, atât pentru introducerile intracomunitare de bunuri, cât şi pentru expedierile intracomunitare de bunuri. Termenul-limită de transmitere a acestei declarații îl reprezintă întotdeauna data de 15 a lunii următoare celei de referință, chiar dacă într-o lună aceasta este o zi liberă, precum sâmbăta sau duminica. Totuși, declarația poate fi depusă online şi în prima zi lucr</w:t>
      </w:r>
      <w:r w:rsidR="00483B1E">
        <w:rPr>
          <w:rFonts w:cstheme="minorHAnsi"/>
          <w:color w:val="515151"/>
          <w:shd w:val="clear" w:color="auto" w:fill="FFFFFF"/>
        </w:rPr>
        <w:t>ătoare care urmeaza datei de 15.</w:t>
      </w:r>
    </w:p>
    <w:p w:rsidR="00D77AAD" w:rsidRPr="00483B1E" w:rsidRDefault="00483B1E" w:rsidP="00483B1E">
      <w:pPr>
        <w:spacing w:before="100" w:beforeAutospacing="1" w:after="100" w:afterAutospacing="1" w:line="240" w:lineRule="auto"/>
        <w:jc w:val="both"/>
        <w:rPr>
          <w:rFonts w:cstheme="minorHAnsi"/>
          <w:color w:val="515151"/>
          <w:shd w:val="clear" w:color="auto" w:fill="FFFFFF"/>
        </w:rPr>
      </w:pPr>
      <w:r>
        <w:rPr>
          <w:rFonts w:eastAsia="Times New Roman" w:cstheme="minorHAnsi"/>
          <w:b/>
          <w:color w:val="515151"/>
        </w:rPr>
        <w:t xml:space="preserve">Pe 27 noiembrie </w:t>
      </w:r>
      <w:r w:rsidR="00D77AAD" w:rsidRPr="00EE5F41">
        <w:rPr>
          <w:rFonts w:eastAsia="Times New Roman" w:cstheme="minorHAnsi"/>
          <w:b/>
          <w:color w:val="515151"/>
        </w:rPr>
        <w:t>își au termenul următoarele declarații:</w:t>
      </w:r>
    </w:p>
    <w:p w:rsidR="00D77AAD" w:rsidRPr="00EE5F41" w:rsidRDefault="00D77AAD" w:rsidP="00D77AAD">
      <w:pPr>
        <w:spacing w:before="390" w:after="390" w:line="240" w:lineRule="auto"/>
        <w:rPr>
          <w:rFonts w:cstheme="minorHAnsi"/>
          <w:color w:val="515151"/>
          <w:shd w:val="clear" w:color="auto" w:fill="FFFFFF"/>
        </w:rPr>
      </w:pPr>
      <w:r w:rsidRPr="00EE5F41">
        <w:rPr>
          <w:rStyle w:val="Strong"/>
          <w:rFonts w:cstheme="minorHAnsi"/>
          <w:color w:val="515151"/>
          <w:shd w:val="clear" w:color="auto" w:fill="FFFFFF"/>
        </w:rPr>
        <w:t>Notificarea pentru încetarea aplicării sistemului TVA la încasare, Formularul 097</w:t>
      </w:r>
      <w:r w:rsidRPr="00EE5F41">
        <w:rPr>
          <w:rFonts w:cstheme="minorHAnsi"/>
          <w:color w:val="515151"/>
          <w:shd w:val="clear" w:color="auto" w:fill="FFFFFF"/>
        </w:rPr>
        <w:t>. Se depune de către persoanele impozabile care depășesc plafonul de 2.250.000 lei, de persoanele impozabile care renunță la aplicarea sistemului TVA la încasare. În ceea ce priveşte persoanele impozabile care aplică sistemul TVA la încasare şi care nu depăşesc în cursul unui an plafonul de 2.250.000 lei, dar care renunţă la aplicarea sistemului respectiv, prin opţiune, depun notificarea pentru ieşirea din sistem între data de 1 şi 25 ale oricărei luni.</w:t>
      </w:r>
    </w:p>
    <w:p w:rsidR="00D77AAD" w:rsidRPr="00EE5F41" w:rsidRDefault="00D77AAD" w:rsidP="00D77AAD">
      <w:pPr>
        <w:spacing w:before="390" w:after="390" w:line="240" w:lineRule="auto"/>
        <w:rPr>
          <w:rFonts w:cstheme="minorHAnsi"/>
          <w:color w:val="515151"/>
          <w:shd w:val="clear" w:color="auto" w:fill="FFFFFF"/>
        </w:rPr>
      </w:pPr>
      <w:r w:rsidRPr="00EE5F41">
        <w:rPr>
          <w:rStyle w:val="Strong"/>
          <w:rFonts w:cstheme="minorHAnsi"/>
          <w:color w:val="515151"/>
          <w:shd w:val="clear" w:color="auto" w:fill="FFFFFF"/>
        </w:rPr>
        <w:t>Declaraţia privind obligaţiile de plată la bugetul de stat, Formularul 100</w:t>
      </w:r>
      <w:r w:rsidRPr="00EE5F41">
        <w:rPr>
          <w:rFonts w:cstheme="minorHAnsi"/>
          <w:color w:val="515151"/>
          <w:shd w:val="clear" w:color="auto" w:fill="FFFFFF"/>
        </w:rPr>
        <w:t>. Se completează de plătitorii de impozite, taxe și contribuții sociale cărora le revin obligații de plată la bugetul stat. Declaraţia se depune în format electronic sau pe hârtie prin codificarea informaţiilor sub formă de cod de bare. Potrivit normelor în vigoare, contribuabilii mari şi contribuabilii mijlocii, precum şi sediile secundare ale acestora, au obligaţia depunerii prin mijloace electronice de transmitere la distanţă.</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Declaraţia privind obligaţiile de plată a contribuţiilor sociale, impozitului pe venit si evidenţa nominală a persoanelor asigurate, Formularul 112</w:t>
      </w:r>
      <w:r w:rsidRPr="00D77AAD">
        <w:rPr>
          <w:rFonts w:eastAsia="Times New Roman" w:cstheme="minorHAnsi"/>
          <w:color w:val="515151"/>
        </w:rPr>
        <w:t>. Aceasta se depune pentru luna precedentă de către:</w:t>
      </w:r>
    </w:p>
    <w:p w:rsidR="00D77AAD" w:rsidRPr="00D77AAD" w:rsidRDefault="00D77AAD" w:rsidP="00D77AAD">
      <w:pPr>
        <w:numPr>
          <w:ilvl w:val="0"/>
          <w:numId w:val="3"/>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persoanele fizice și juridice care au calitatea de angajatori sau sunt asimilate acestora, instituțiile prevăzute la art.136 lit. d) - f) din noul Cod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p w:rsidR="00D77AAD" w:rsidRPr="00D77AAD" w:rsidRDefault="00D77AAD" w:rsidP="00D77AAD">
      <w:pPr>
        <w:numPr>
          <w:ilvl w:val="0"/>
          <w:numId w:val="3"/>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persoanele fizice și juridice care au calitatea de angajatori, precum și entitățile asimilate angajatorului, care au calitatea de plătitori de venituri din activități dependente, instituțiile publice care calculează, rețin, plătesc și suportă contribuții sociale obligatorii în numele asiguratului, precum și orice plătitor de venituri de natură salarială sau asimilate salariilor.</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lastRenderedPageBreak/>
        <w:t>Declaraţia privind veniturile sub formă de salarii din străinătate obţinute de către persoanele fizice care desfăşoară activitate în România şi de către persoanele fizice române angajate ale misiunilor diplomatice şi posturilor consulare acreditate în România pentru luna precedentă, Formularul 224</w:t>
      </w:r>
      <w:r w:rsidRPr="00EE5F41">
        <w:rPr>
          <w:rFonts w:eastAsia="Times New Roman" w:cstheme="minorHAnsi"/>
          <w:color w:val="515151"/>
        </w:rPr>
        <w:t>. Se depune de către persoanele fizice care obţin salarii din străinătate pentru activităţi în România şi persoanele fizice române angajate ale misiunilor diplomatice şi posturilor consulare acreditate în România.</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Decontul de taxă pe valoarea adăugată, Formularul 300</w:t>
      </w:r>
      <w:r w:rsidRPr="00EE5F41">
        <w:rPr>
          <w:rFonts w:eastAsia="Times New Roman" w:cstheme="minorHAnsi"/>
          <w:color w:val="515151"/>
        </w:rPr>
        <w:t>. Se depune lunar, trimestrial, semestrial sau anual de persoanele impozabile înregistrate în scopuri de TVA conform art. 316 din noul Cod fiscal. Formularul se completează electronic cu ajutorul </w:t>
      </w:r>
      <w:hyperlink r:id="rId5" w:tgtFrame="_blank" w:history="1">
        <w:r w:rsidRPr="00EE5F41">
          <w:rPr>
            <w:rFonts w:eastAsia="Times New Roman" w:cstheme="minorHAnsi"/>
            <w:color w:val="12B5E5"/>
            <w:u w:val="single"/>
          </w:rPr>
          <w:t>programului ANAF</w:t>
        </w:r>
      </w:hyperlink>
      <w:r w:rsidRPr="00EE5F41">
        <w:rPr>
          <w:rFonts w:eastAsia="Times New Roman" w:cstheme="minorHAnsi"/>
          <w:color w:val="515151"/>
        </w:rPr>
        <w:t>.</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Decontul special de taxă pe valoarea adăugată pentru luna precedentă, Formularul 301</w:t>
      </w:r>
      <w:r w:rsidRPr="00EE5F41">
        <w:rPr>
          <w:rFonts w:eastAsia="Times New Roman" w:cstheme="minorHAnsi"/>
          <w:color w:val="515151"/>
        </w:rPr>
        <w:t>. Se completează de persoanele menționate în instrucțiunile de completare a formularului, pentru fiecare secțiune şi se întocmeşte în două exemplare, semnate şi ştampilate. Formularul se completează cu ajutorul </w:t>
      </w:r>
      <w:hyperlink r:id="rId6" w:tgtFrame="_blank" w:history="1">
        <w:r w:rsidRPr="00EE5F41">
          <w:rPr>
            <w:rFonts w:eastAsia="Times New Roman" w:cstheme="minorHAnsi"/>
            <w:color w:val="12B5E5"/>
            <w:u w:val="single"/>
          </w:rPr>
          <w:t>programului de asistenţă</w:t>
        </w:r>
      </w:hyperlink>
      <w:r w:rsidR="002F4233" w:rsidRPr="00EE5F41">
        <w:rPr>
          <w:rFonts w:eastAsia="Times New Roman" w:cstheme="minorHAnsi"/>
          <w:color w:val="515151"/>
        </w:rPr>
        <w:t xml:space="preserve"> </w:t>
      </w:r>
      <w:r w:rsidRPr="00EE5F41">
        <w:rPr>
          <w:rFonts w:eastAsia="Times New Roman" w:cstheme="minorHAnsi"/>
          <w:color w:val="515151"/>
        </w:rPr>
        <w:t>pus la dispoziţie de MFP.</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Declarația privind sumele rezultate din ajustarea taxei pe valoarea adăugată, Formularul 307</w:t>
      </w:r>
      <w:r w:rsidRPr="00EE5F41">
        <w:rPr>
          <w:rFonts w:eastAsia="Times New Roman" w:cstheme="minorHAnsi"/>
          <w:color w:val="515151"/>
        </w:rPr>
        <w:t>. Se depune de persoanele impozabile prevăzute la art. 280 alin. (6), art. 270 alin. (7), art.310 alin. (7), art.316 alin. (11) lit. a) - e) și g) din noul Cod fiscal. Declaraţia se depune la organul fiscal în a cărui evidenţă persoana impozabilă este înregistrată ca plătitor de impozite şi taxe, direct sau prin împuternicit, la registratură sau la poştă, prin scrisoare recomandată.</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Declarația privind taxa pe valoarea adăugată colectată datorată de către persoanele impozabile al căror cod de înregistrare în scopuri de taxă pe valoarea adăugată a fost anulat conform art. 316 alin. (11) lit. a) - e), lit. g) sau lit.h) din Codul fiscal, Formularul 311</w:t>
      </w:r>
      <w:r w:rsidRPr="00EE5F41">
        <w:rPr>
          <w:rFonts w:eastAsia="Times New Roman" w:cstheme="minorHAnsi"/>
          <w:color w:val="515151"/>
        </w:rPr>
        <w:t>. Se depune de persoanele impozabile al căror cod de TVA a fost anulat conform art. 316 alin. (11) lit. a) - e), lit. g) sau lit. h) din Codul fiscal și care efectuează în perioada în care nu au cod valid de TVA, livrări și/sau achiziții /prestări de bunuri/ servicii care sunt obligate la plata TVA. Declaraţia se depune, la organul fiscal în a cărui rază teritorială persoana impozabilă îşi are domiciliul fiscal sau în a cărui evidenţă aceasta se află înregistrată ca plătitor de impozite şi taxe.</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Declarația recapitulativă privind livrările/achizițiile/prestările intracomunitare de bunuri pentru luna trecută, Formular 390 VIES</w:t>
      </w:r>
      <w:r w:rsidRPr="00EE5F41">
        <w:rPr>
          <w:rFonts w:eastAsia="Times New Roman" w:cstheme="minorHAnsi"/>
          <w:color w:val="515151"/>
        </w:rPr>
        <w:t>. Se depune de către contribuabilii înregistrați în scopuri de TVA conform art. 316 sau art. 317 din Codul fiscal. Declaraţiile recapitulative se depun lunar numai pentru perioadele în care ia naştere exigibilitatea taxei pentru operaţiunile menţionate la art. 325 alin. (1) din Legea nr. 227/2015 privind codul fiscal, până la data de 25 inclusiv a lunii următoare acesteia.</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Cererea de restituire a accizelor în cazul vânzărilor la distanţă, pe trimestrul precedent - Formular (anexa nr. 39)</w:t>
      </w:r>
      <w:r w:rsidRPr="00EE5F41">
        <w:rPr>
          <w:rFonts w:eastAsia="Times New Roman" w:cstheme="minorHAnsi"/>
          <w:color w:val="515151"/>
        </w:rPr>
        <w:t>. Se depune de către vânzători pentru livrările efectuate în cadrul vânzării la distanţă.</w:t>
      </w:r>
    </w:p>
    <w:p w:rsidR="00D77AAD" w:rsidRPr="00EE5F41" w:rsidRDefault="00D77AAD" w:rsidP="00D77AAD">
      <w:pPr>
        <w:pStyle w:val="Heading2"/>
        <w:spacing w:before="375" w:beforeAutospacing="0" w:after="188" w:afterAutospacing="0"/>
        <w:rPr>
          <w:rFonts w:asciiTheme="minorHAnsi" w:hAnsiTheme="minorHAnsi" w:cstheme="minorHAnsi"/>
          <w:bCs w:val="0"/>
          <w:color w:val="515151"/>
          <w:sz w:val="22"/>
          <w:szCs w:val="22"/>
        </w:rPr>
      </w:pPr>
      <w:r w:rsidRPr="00EE5F41">
        <w:rPr>
          <w:rFonts w:asciiTheme="minorHAnsi" w:hAnsiTheme="minorHAnsi" w:cstheme="minorHAnsi"/>
          <w:bCs w:val="0"/>
          <w:color w:val="515151"/>
          <w:sz w:val="22"/>
          <w:szCs w:val="22"/>
        </w:rPr>
        <w:t>Taxele și impozite</w:t>
      </w:r>
      <w:r w:rsidR="00483B1E">
        <w:rPr>
          <w:rFonts w:asciiTheme="minorHAnsi" w:hAnsiTheme="minorHAnsi" w:cstheme="minorHAnsi"/>
          <w:bCs w:val="0"/>
          <w:color w:val="515151"/>
          <w:sz w:val="22"/>
          <w:szCs w:val="22"/>
        </w:rPr>
        <w:t>le ce trebuie plătite până pe 27 noiembrie</w:t>
      </w:r>
      <w:r w:rsidRPr="00EE5F41">
        <w:rPr>
          <w:rFonts w:asciiTheme="minorHAnsi" w:hAnsiTheme="minorHAnsi" w:cstheme="minorHAnsi"/>
          <w:bCs w:val="0"/>
          <w:color w:val="515151"/>
          <w:sz w:val="22"/>
          <w:szCs w:val="22"/>
        </w:rPr>
        <w:t xml:space="preserve">, </w:t>
      </w:r>
      <w:r w:rsidR="002F4233" w:rsidRPr="00EE5F41">
        <w:rPr>
          <w:rFonts w:asciiTheme="minorHAnsi" w:hAnsiTheme="minorHAnsi" w:cstheme="minorHAnsi"/>
          <w:bCs w:val="0"/>
          <w:color w:val="515151"/>
          <w:sz w:val="22"/>
          <w:szCs w:val="22"/>
        </w:rPr>
        <w:t>inclusiv</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color w:val="515151"/>
        </w:rPr>
        <w:t>Conform calendarului fiscal pus la dispoziția c</w:t>
      </w:r>
      <w:r w:rsidR="00483B1E">
        <w:rPr>
          <w:rFonts w:eastAsia="Times New Roman" w:cstheme="minorHAnsi"/>
          <w:color w:val="515151"/>
        </w:rPr>
        <w:t xml:space="preserve">ontribuabililor de ANAF, 27 noiembrie </w:t>
      </w:r>
      <w:r w:rsidRPr="00D77AAD">
        <w:rPr>
          <w:rFonts w:eastAsia="Times New Roman" w:cstheme="minorHAnsi"/>
          <w:color w:val="515151"/>
        </w:rPr>
        <w:t>va fi termenul-limită pentru următoarele taxe și impozite:</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lastRenderedPageBreak/>
        <w:t>Plata impozitului reținut la sursă în luna precedentă</w:t>
      </w:r>
      <w:r w:rsidRPr="00D77AAD">
        <w:rPr>
          <w:rFonts w:eastAsia="Times New Roman" w:cstheme="minorHAnsi"/>
          <w:color w:val="515151"/>
        </w:rPr>
        <w:t> - se plătește de către contribuabilii care obțin venituri din drepturi de proprietate intelectuală, din premii și jocuri de noroc, obținute de nerezidenți sau din alte surse;</w:t>
      </w:r>
    </w:p>
    <w:p w:rsidR="003B33DC" w:rsidRDefault="00D77AAD" w:rsidP="003B33DC">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Plata taxei anuale pentru autorizația de exploatare a jocurilor de noroc</w:t>
      </w:r>
      <w:r w:rsidRPr="00D77AAD">
        <w:rPr>
          <w:rFonts w:eastAsia="Times New Roman" w:cstheme="minorHAnsi"/>
          <w:color w:val="515151"/>
        </w:rPr>
        <w:t>(sumele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următoare).Se plătește de către organizatorii de jocuri de tip pariu, jocuri de noroc, bingo organizate prin TV, pariuri on-line, jocuri bingo prin internet, sisteme de telefonie fixă sau mobilă, jocuri de noroc on-line;</w:t>
      </w:r>
    </w:p>
    <w:p w:rsidR="003B33DC" w:rsidRPr="003B33DC" w:rsidRDefault="003B33DC" w:rsidP="003B33DC">
      <w:pPr>
        <w:numPr>
          <w:ilvl w:val="0"/>
          <w:numId w:val="7"/>
        </w:numPr>
        <w:spacing w:before="100" w:beforeAutospacing="1" w:after="100" w:afterAutospacing="1" w:line="240" w:lineRule="auto"/>
        <w:ind w:left="0"/>
        <w:rPr>
          <w:rFonts w:eastAsia="Times New Roman" w:cstheme="minorHAnsi"/>
          <w:color w:val="515151"/>
        </w:rPr>
      </w:pPr>
      <w:r w:rsidRPr="003B33DC">
        <w:rPr>
          <w:rFonts w:eastAsia="Times New Roman" w:cstheme="minorHAnsi"/>
          <w:b/>
          <w:bCs/>
          <w:color w:val="515151"/>
        </w:rPr>
        <w:t>Plata contribuției trimestriale pentru medicamente pentru trimestrul III 2017. Se depune de către deținătorii autorizațiilor de punere pe piață a medicamentelor sau reprezentanții legali ai acestora;</w:t>
      </w:r>
    </w:p>
    <w:p w:rsidR="00D77AAD" w:rsidRPr="003B33DC" w:rsidRDefault="00D77AAD" w:rsidP="003B33DC">
      <w:pPr>
        <w:numPr>
          <w:ilvl w:val="0"/>
          <w:numId w:val="7"/>
        </w:numPr>
        <w:spacing w:before="100" w:beforeAutospacing="1" w:after="100" w:afterAutospacing="1" w:line="240" w:lineRule="auto"/>
        <w:ind w:left="0"/>
        <w:rPr>
          <w:rFonts w:eastAsia="Times New Roman" w:cstheme="minorHAnsi"/>
          <w:color w:val="515151"/>
        </w:rPr>
      </w:pPr>
      <w:r w:rsidRPr="003B33DC">
        <w:rPr>
          <w:rFonts w:eastAsia="Times New Roman" w:cstheme="minorHAnsi"/>
          <w:b/>
          <w:bCs/>
          <w:color w:val="515151"/>
        </w:rPr>
        <w:t>Plata cotei de contribuţii sociale pentru şomaj pentru luna precedentă</w:t>
      </w:r>
      <w:r w:rsidRPr="003B33DC">
        <w:rPr>
          <w:rFonts w:eastAsia="Times New Roman" w:cstheme="minorHAnsi"/>
          <w:color w:val="515151"/>
        </w:rPr>
        <w:t>. Se depune de către asiguraţii care au încheiat opţional un contract de asigurare pentru şomaj cu Agenţia de ocupare a forţei de muncă judeţeană/a municipiului Bucureşti;</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Contribuția de asigurări sociale (pensii) către Casa Naţională de Pensii Publice (CNPP) pentru luna precedentă</w:t>
      </w:r>
      <w:r w:rsidRPr="00D77AAD">
        <w:rPr>
          <w:rFonts w:eastAsia="Times New Roman" w:cstheme="minorHAnsi"/>
          <w:color w:val="515151"/>
        </w:rPr>
        <w:t> - se plătește de către asigurații în sistemul public de pensii și alte drepturi de asigurări sociale care se regăsesc în una dintre situațiile menționate în Legea nr. 263/2010;</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Accize;</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TVA;</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Impozite datorate bugetului de stat:</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țițeiul și gazele naturale din producția internă;</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nerezidenților;</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salarii (OP separat pentru Sediu Social și fiecare sediu secundar, dacă este cazul);</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activități independente, cu regim de reținere la sursă;</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dividende plătite în luna precedentă;</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dobânzi;</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alte venituri din investiții;</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pensii;</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premii și din jocuri de noroc;</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alte surse.</w:t>
      </w:r>
    </w:p>
    <w:p w:rsidR="00D77AAD" w:rsidRPr="00EE5F41" w:rsidRDefault="00483B1E" w:rsidP="002F4233">
      <w:pPr>
        <w:pStyle w:val="Heading2"/>
        <w:spacing w:before="375" w:beforeAutospacing="0" w:after="188" w:afterAutospacing="0"/>
        <w:rPr>
          <w:rFonts w:asciiTheme="minorHAnsi" w:hAnsiTheme="minorHAnsi" w:cstheme="minorHAnsi"/>
          <w:bCs w:val="0"/>
          <w:color w:val="515151"/>
          <w:sz w:val="22"/>
          <w:szCs w:val="22"/>
        </w:rPr>
      </w:pPr>
      <w:r>
        <w:rPr>
          <w:rFonts w:asciiTheme="minorHAnsi" w:hAnsiTheme="minorHAnsi" w:cstheme="minorHAnsi"/>
          <w:bCs w:val="0"/>
          <w:color w:val="515151"/>
          <w:sz w:val="22"/>
          <w:szCs w:val="22"/>
        </w:rPr>
        <w:t>4 decembrie</w:t>
      </w:r>
      <w:r w:rsidR="004C78B0" w:rsidRPr="00EE5F41">
        <w:rPr>
          <w:rFonts w:asciiTheme="minorHAnsi" w:hAnsiTheme="minorHAnsi" w:cstheme="minorHAnsi"/>
          <w:bCs w:val="0"/>
          <w:color w:val="515151"/>
          <w:sz w:val="22"/>
          <w:szCs w:val="22"/>
        </w:rPr>
        <w:t>, termen pentru formularul 394</w:t>
      </w:r>
    </w:p>
    <w:p w:rsidR="003B33DC" w:rsidRDefault="00EE5F41" w:rsidP="004C78B0">
      <w:pPr>
        <w:spacing w:before="390" w:after="390" w:line="240" w:lineRule="auto"/>
        <w:rPr>
          <w:rFonts w:cstheme="minorHAnsi"/>
          <w:color w:val="515151"/>
          <w:shd w:val="clear" w:color="auto" w:fill="FFFFFF"/>
        </w:rPr>
      </w:pPr>
      <w:r w:rsidRPr="00EE5F41">
        <w:rPr>
          <w:rFonts w:cstheme="minorHAnsi"/>
          <w:color w:val="515151"/>
          <w:shd w:val="clear" w:color="auto" w:fill="FFFFFF"/>
        </w:rPr>
        <w:t>"Declaraţia informativă privind livrările/prestările și achizițiile efectuate pe teritoriul național aferente perioadei de raportare precedente" - </w:t>
      </w:r>
      <w:r w:rsidRPr="00EE5F41">
        <w:rPr>
          <w:rStyle w:val="Strong"/>
          <w:rFonts w:cstheme="minorHAnsi"/>
          <w:color w:val="515151"/>
          <w:shd w:val="clear" w:color="auto" w:fill="FFFFFF"/>
        </w:rPr>
        <w:t>formularul 394</w:t>
      </w:r>
      <w:r w:rsidRPr="00EE5F41">
        <w:rPr>
          <w:rFonts w:cstheme="minorHAnsi"/>
          <w:color w:val="515151"/>
          <w:shd w:val="clear" w:color="auto" w:fill="FFFFFF"/>
        </w:rPr>
        <w:t>, aferentă lunii </w:t>
      </w:r>
      <w:r w:rsidR="00483B1E">
        <w:rPr>
          <w:rStyle w:val="Strong"/>
          <w:rFonts w:cstheme="minorHAnsi"/>
          <w:color w:val="515151"/>
          <w:shd w:val="clear" w:color="auto" w:fill="FFFFFF"/>
        </w:rPr>
        <w:t>octombrie</w:t>
      </w:r>
      <w:r w:rsidRPr="00EE5F41">
        <w:rPr>
          <w:rFonts w:cstheme="minorHAnsi"/>
          <w:color w:val="515151"/>
          <w:shd w:val="clear" w:color="auto" w:fill="FFFFFF"/>
        </w:rPr>
        <w:t xml:space="preserve">, trebuie depusă la organele fiscale competente până cel târziu pe </w:t>
      </w:r>
      <w:r w:rsidR="003B33DC">
        <w:rPr>
          <w:rFonts w:cstheme="minorHAnsi"/>
          <w:color w:val="515151"/>
          <w:shd w:val="clear" w:color="auto" w:fill="FFFFFF"/>
        </w:rPr>
        <w:t>4 decembrie</w:t>
      </w:r>
      <w:r w:rsidRPr="00EE5F41">
        <w:rPr>
          <w:rFonts w:cstheme="minorHAnsi"/>
          <w:color w:val="515151"/>
          <w:shd w:val="clear" w:color="auto" w:fill="FFFFFF"/>
        </w:rPr>
        <w:t>, în condițiile în care data obișnuită de raportare, respec</w:t>
      </w:r>
      <w:r w:rsidR="003B33DC">
        <w:rPr>
          <w:rFonts w:cstheme="minorHAnsi"/>
          <w:color w:val="515151"/>
          <w:shd w:val="clear" w:color="auto" w:fill="FFFFFF"/>
        </w:rPr>
        <w:t>tiv ziua de 30 a lunii, va fi zi de sărbătoare națională (Sfântul Andrei) și va fi urmată o altă zi liberă legală (1 decembrie – Ziua Națională a României).</w:t>
      </w:r>
      <w:bookmarkStart w:id="0" w:name="_GoBack"/>
      <w:bookmarkEnd w:id="0"/>
    </w:p>
    <w:p w:rsidR="004C78B0" w:rsidRPr="004C78B0" w:rsidRDefault="004C78B0" w:rsidP="004C78B0">
      <w:pPr>
        <w:spacing w:before="390" w:after="390" w:line="240" w:lineRule="auto"/>
        <w:rPr>
          <w:rFonts w:eastAsia="Times New Roman" w:cstheme="minorHAnsi"/>
          <w:color w:val="515151"/>
        </w:rPr>
      </w:pPr>
      <w:r w:rsidRPr="004C78B0">
        <w:rPr>
          <w:rFonts w:eastAsia="Times New Roman" w:cstheme="minorHAnsi"/>
          <w:color w:val="515151"/>
        </w:rPr>
        <w:lastRenderedPageBreak/>
        <w:t xml:space="preserve">În noul format al formularului 394 trebuie cuprinse toate operaţiunile de livrări sau achiziţii de bunuri efectuate către, dar şi de la contribuabili, fie ei plătitori sau neplătitori de TVA (persoane fizice şi persoane juridice). Documentul trebuie transmis chiar dacă în luna </w:t>
      </w:r>
      <w:r w:rsidR="00483B1E">
        <w:rPr>
          <w:rFonts w:eastAsia="Times New Roman" w:cstheme="minorHAnsi"/>
          <w:color w:val="515151"/>
        </w:rPr>
        <w:t>octombrie</w:t>
      </w:r>
      <w:r w:rsidRPr="004C78B0">
        <w:rPr>
          <w:rFonts w:eastAsia="Times New Roman" w:cstheme="minorHAnsi"/>
          <w:color w:val="515151"/>
        </w:rPr>
        <w:t xml:space="preserve"> nu au fost realizate operaţiuni de natura celor care fac obiectul declaraţiei. Obligaţia transmiterii formularului revine:</w:t>
      </w:r>
    </w:p>
    <w:p w:rsidR="004C78B0" w:rsidRPr="004C78B0" w:rsidRDefault="004C78B0" w:rsidP="004C78B0">
      <w:pPr>
        <w:numPr>
          <w:ilvl w:val="0"/>
          <w:numId w:val="8"/>
        </w:numPr>
        <w:spacing w:before="100" w:beforeAutospacing="1" w:after="100" w:afterAutospacing="1" w:line="240" w:lineRule="auto"/>
        <w:ind w:left="0"/>
        <w:rPr>
          <w:rFonts w:eastAsia="Times New Roman" w:cstheme="minorHAnsi"/>
          <w:color w:val="515151"/>
        </w:rPr>
      </w:pPr>
      <w:r w:rsidRPr="004C78B0">
        <w:rPr>
          <w:rFonts w:eastAsia="Times New Roman" w:cstheme="minorHAnsi"/>
          <w:color w:val="515151"/>
        </w:rPr>
        <w:t>persoanelor impozabile înregistrate în scopuri de TVA în România, conform art. 316 din Codul fiscal, obligate la plata taxei conform art. 307 alin. (1), (2), (6) și (7) din Codul fiscal, pentru operațiuni impozabile în România conform art. 268 alin.(1) din Codul fiscal;</w:t>
      </w:r>
    </w:p>
    <w:p w:rsidR="00483B1E" w:rsidRPr="00483B1E" w:rsidRDefault="004C78B0" w:rsidP="00483B1E">
      <w:pPr>
        <w:numPr>
          <w:ilvl w:val="0"/>
          <w:numId w:val="8"/>
        </w:numPr>
        <w:spacing w:before="100" w:beforeAutospacing="1" w:after="100" w:afterAutospacing="1" w:line="240" w:lineRule="auto"/>
        <w:ind w:left="0"/>
        <w:rPr>
          <w:rFonts w:eastAsia="Times New Roman" w:cstheme="minorHAnsi"/>
          <w:color w:val="515151"/>
        </w:rPr>
      </w:pPr>
      <w:r w:rsidRPr="004C78B0">
        <w:rPr>
          <w:rFonts w:eastAsia="Times New Roman" w:cstheme="minorHAnsi"/>
          <w:color w:val="515151"/>
        </w:rPr>
        <w:t>persoanelor impozabile înregistrate în scopuri de TVA în România, conform art. 316 din Codul fiscal, care realizează în România, de la persoanele impozabile înregistrate în scopuri de TVA în România, achiziții</w:t>
      </w:r>
      <w:r w:rsidRPr="00EE5F41">
        <w:rPr>
          <w:rFonts w:eastAsia="Times New Roman" w:cstheme="minorHAnsi"/>
          <w:color w:val="515151"/>
        </w:rPr>
        <w:t xml:space="preserve"> de bunuri sau servicii taxabile.</w:t>
      </w:r>
    </w:p>
    <w:p w:rsidR="00483B1E" w:rsidRPr="00483B1E" w:rsidRDefault="00483B1E" w:rsidP="00483B1E">
      <w:pPr>
        <w:spacing w:before="100" w:beforeAutospacing="1" w:after="100" w:afterAutospacing="1" w:line="240" w:lineRule="auto"/>
        <w:ind w:left="-360"/>
        <w:rPr>
          <w:rFonts w:eastAsia="Times New Roman" w:cstheme="minorHAnsi"/>
          <w:color w:val="515151"/>
        </w:rPr>
      </w:pPr>
      <w:r w:rsidRPr="00483B1E">
        <w:rPr>
          <w:rFonts w:eastAsia="Times New Roman" w:cstheme="minorHAnsi"/>
          <w:color w:val="515151"/>
        </w:rPr>
        <w:t>În fine, 4 decembrie 2017 va fi termenul-limită pentru depunerea cererii de restituire a accizelor de către importatori pentru trimestrul precedent. Aceasta se depune de către beneficiarii scutirilor de accize (instituții, organizații).</w:t>
      </w:r>
    </w:p>
    <w:sectPr w:rsidR="00483B1E" w:rsidRPr="00483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62A"/>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337C"/>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25258"/>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C06EF"/>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143E0"/>
    <w:multiLevelType w:val="multilevel"/>
    <w:tmpl w:val="528E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D5364"/>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D0138B"/>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71332C"/>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7F"/>
    <w:rsid w:val="002F4233"/>
    <w:rsid w:val="003B33DC"/>
    <w:rsid w:val="00483B1E"/>
    <w:rsid w:val="004C78B0"/>
    <w:rsid w:val="005F2B7F"/>
    <w:rsid w:val="008D361E"/>
    <w:rsid w:val="0099143B"/>
    <w:rsid w:val="009918D6"/>
    <w:rsid w:val="00A0242A"/>
    <w:rsid w:val="00D77AAD"/>
    <w:rsid w:val="00E91562"/>
    <w:rsid w:val="00EA5540"/>
    <w:rsid w:val="00EE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E9A4"/>
  <w15:chartTrackingRefBased/>
  <w15:docId w15:val="{A2A2BE97-954D-4934-933F-4A1C05D3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77A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A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7AAD"/>
    <w:rPr>
      <w:b/>
      <w:bCs/>
    </w:rPr>
  </w:style>
  <w:style w:type="paragraph" w:styleId="ListParagraph">
    <w:name w:val="List Paragraph"/>
    <w:basedOn w:val="Normal"/>
    <w:uiPriority w:val="34"/>
    <w:qFormat/>
    <w:rsid w:val="00D77AAD"/>
    <w:pPr>
      <w:ind w:left="720"/>
      <w:contextualSpacing/>
    </w:pPr>
  </w:style>
  <w:style w:type="character" w:customStyle="1" w:styleId="Heading2Char">
    <w:name w:val="Heading 2 Char"/>
    <w:basedOn w:val="DefaultParagraphFont"/>
    <w:link w:val="Heading2"/>
    <w:uiPriority w:val="9"/>
    <w:rsid w:val="00D77AA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7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93850">
      <w:bodyDiv w:val="1"/>
      <w:marLeft w:val="0"/>
      <w:marRight w:val="0"/>
      <w:marTop w:val="0"/>
      <w:marBottom w:val="0"/>
      <w:divBdr>
        <w:top w:val="none" w:sz="0" w:space="0" w:color="auto"/>
        <w:left w:val="none" w:sz="0" w:space="0" w:color="auto"/>
        <w:bottom w:val="none" w:sz="0" w:space="0" w:color="auto"/>
        <w:right w:val="none" w:sz="0" w:space="0" w:color="auto"/>
      </w:divBdr>
    </w:div>
    <w:div w:id="606086205">
      <w:bodyDiv w:val="1"/>
      <w:marLeft w:val="0"/>
      <w:marRight w:val="0"/>
      <w:marTop w:val="0"/>
      <w:marBottom w:val="0"/>
      <w:divBdr>
        <w:top w:val="none" w:sz="0" w:space="0" w:color="auto"/>
        <w:left w:val="none" w:sz="0" w:space="0" w:color="auto"/>
        <w:bottom w:val="none" w:sz="0" w:space="0" w:color="auto"/>
        <w:right w:val="none" w:sz="0" w:space="0" w:color="auto"/>
      </w:divBdr>
    </w:div>
    <w:div w:id="1020669969">
      <w:bodyDiv w:val="1"/>
      <w:marLeft w:val="0"/>
      <w:marRight w:val="0"/>
      <w:marTop w:val="0"/>
      <w:marBottom w:val="0"/>
      <w:divBdr>
        <w:top w:val="none" w:sz="0" w:space="0" w:color="auto"/>
        <w:left w:val="none" w:sz="0" w:space="0" w:color="auto"/>
        <w:bottom w:val="none" w:sz="0" w:space="0" w:color="auto"/>
        <w:right w:val="none" w:sz="0" w:space="0" w:color="auto"/>
      </w:divBdr>
    </w:div>
    <w:div w:id="1189561332">
      <w:bodyDiv w:val="1"/>
      <w:marLeft w:val="0"/>
      <w:marRight w:val="0"/>
      <w:marTop w:val="0"/>
      <w:marBottom w:val="0"/>
      <w:divBdr>
        <w:top w:val="none" w:sz="0" w:space="0" w:color="auto"/>
        <w:left w:val="none" w:sz="0" w:space="0" w:color="auto"/>
        <w:bottom w:val="none" w:sz="0" w:space="0" w:color="auto"/>
        <w:right w:val="none" w:sz="0" w:space="0" w:color="auto"/>
      </w:divBdr>
    </w:div>
    <w:div w:id="1268004057">
      <w:bodyDiv w:val="1"/>
      <w:marLeft w:val="0"/>
      <w:marRight w:val="0"/>
      <w:marTop w:val="0"/>
      <w:marBottom w:val="0"/>
      <w:divBdr>
        <w:top w:val="none" w:sz="0" w:space="0" w:color="auto"/>
        <w:left w:val="none" w:sz="0" w:space="0" w:color="auto"/>
        <w:bottom w:val="none" w:sz="0" w:space="0" w:color="auto"/>
        <w:right w:val="none" w:sz="0" w:space="0" w:color="auto"/>
      </w:divBdr>
    </w:div>
    <w:div w:id="1392192607">
      <w:bodyDiv w:val="1"/>
      <w:marLeft w:val="0"/>
      <w:marRight w:val="0"/>
      <w:marTop w:val="0"/>
      <w:marBottom w:val="0"/>
      <w:divBdr>
        <w:top w:val="none" w:sz="0" w:space="0" w:color="auto"/>
        <w:left w:val="none" w:sz="0" w:space="0" w:color="auto"/>
        <w:bottom w:val="none" w:sz="0" w:space="0" w:color="auto"/>
        <w:right w:val="none" w:sz="0" w:space="0" w:color="auto"/>
      </w:divBdr>
    </w:div>
    <w:div w:id="1427580963">
      <w:bodyDiv w:val="1"/>
      <w:marLeft w:val="0"/>
      <w:marRight w:val="0"/>
      <w:marTop w:val="0"/>
      <w:marBottom w:val="0"/>
      <w:divBdr>
        <w:top w:val="none" w:sz="0" w:space="0" w:color="auto"/>
        <w:left w:val="none" w:sz="0" w:space="0" w:color="auto"/>
        <w:bottom w:val="none" w:sz="0" w:space="0" w:color="auto"/>
        <w:right w:val="none" w:sz="0" w:space="0" w:color="auto"/>
      </w:divBdr>
    </w:div>
    <w:div w:id="1628009554">
      <w:bodyDiv w:val="1"/>
      <w:marLeft w:val="0"/>
      <w:marRight w:val="0"/>
      <w:marTop w:val="0"/>
      <w:marBottom w:val="0"/>
      <w:divBdr>
        <w:top w:val="none" w:sz="0" w:space="0" w:color="auto"/>
        <w:left w:val="none" w:sz="0" w:space="0" w:color="auto"/>
        <w:bottom w:val="none" w:sz="0" w:space="0" w:color="auto"/>
        <w:right w:val="none" w:sz="0" w:space="0" w:color="auto"/>
      </w:divBdr>
    </w:div>
    <w:div w:id="1792936643">
      <w:bodyDiv w:val="1"/>
      <w:marLeft w:val="0"/>
      <w:marRight w:val="0"/>
      <w:marTop w:val="0"/>
      <w:marBottom w:val="0"/>
      <w:divBdr>
        <w:top w:val="none" w:sz="0" w:space="0" w:color="auto"/>
        <w:left w:val="none" w:sz="0" w:space="0" w:color="auto"/>
        <w:bottom w:val="none" w:sz="0" w:space="0" w:color="auto"/>
        <w:right w:val="none" w:sz="0" w:space="0" w:color="auto"/>
      </w:divBdr>
    </w:div>
    <w:div w:id="1808891245">
      <w:bodyDiv w:val="1"/>
      <w:marLeft w:val="0"/>
      <w:marRight w:val="0"/>
      <w:marTop w:val="0"/>
      <w:marBottom w:val="0"/>
      <w:divBdr>
        <w:top w:val="none" w:sz="0" w:space="0" w:color="auto"/>
        <w:left w:val="none" w:sz="0" w:space="0" w:color="auto"/>
        <w:bottom w:val="none" w:sz="0" w:space="0" w:color="auto"/>
        <w:right w:val="none" w:sz="0" w:space="0" w:color="auto"/>
      </w:divBdr>
    </w:div>
    <w:div w:id="1826358925">
      <w:bodyDiv w:val="1"/>
      <w:marLeft w:val="0"/>
      <w:marRight w:val="0"/>
      <w:marTop w:val="0"/>
      <w:marBottom w:val="0"/>
      <w:divBdr>
        <w:top w:val="none" w:sz="0" w:space="0" w:color="auto"/>
        <w:left w:val="none" w:sz="0" w:space="0" w:color="auto"/>
        <w:bottom w:val="none" w:sz="0" w:space="0" w:color="auto"/>
        <w:right w:val="none" w:sz="0" w:space="0" w:color="auto"/>
      </w:divBdr>
    </w:div>
    <w:div w:id="1829638025">
      <w:bodyDiv w:val="1"/>
      <w:marLeft w:val="0"/>
      <w:marRight w:val="0"/>
      <w:marTop w:val="0"/>
      <w:marBottom w:val="0"/>
      <w:divBdr>
        <w:top w:val="none" w:sz="0" w:space="0" w:color="auto"/>
        <w:left w:val="none" w:sz="0" w:space="0" w:color="auto"/>
        <w:bottom w:val="none" w:sz="0" w:space="0" w:color="auto"/>
        <w:right w:val="none" w:sz="0" w:space="0" w:color="auto"/>
      </w:divBdr>
    </w:div>
    <w:div w:id="2007005446">
      <w:bodyDiv w:val="1"/>
      <w:marLeft w:val="0"/>
      <w:marRight w:val="0"/>
      <w:marTop w:val="0"/>
      <w:marBottom w:val="0"/>
      <w:divBdr>
        <w:top w:val="none" w:sz="0" w:space="0" w:color="auto"/>
        <w:left w:val="none" w:sz="0" w:space="0" w:color="auto"/>
        <w:bottom w:val="none" w:sz="0" w:space="0" w:color="auto"/>
        <w:right w:val="none" w:sz="0" w:space="0" w:color="auto"/>
      </w:divBdr>
    </w:div>
    <w:div w:id="2020616836">
      <w:bodyDiv w:val="1"/>
      <w:marLeft w:val="0"/>
      <w:marRight w:val="0"/>
      <w:marTop w:val="0"/>
      <w:marBottom w:val="0"/>
      <w:divBdr>
        <w:top w:val="none" w:sz="0" w:space="0" w:color="auto"/>
        <w:left w:val="none" w:sz="0" w:space="0" w:color="auto"/>
        <w:bottom w:val="none" w:sz="0" w:space="0" w:color="auto"/>
        <w:right w:val="none" w:sz="0" w:space="0" w:color="auto"/>
      </w:divBdr>
    </w:div>
    <w:div w:id="2061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af.ro/anaf/internet/ANAF/acasa/!ut/p/a1/hZBNb8IwDIZ_C4ceqUPRUOAWCqJDgxui5FKlxbSVQhKZbBP8elLQpB34sHzx4_eVP0BCDtKon7ZWvrVG6a6WoyIbZKMs4cmSi_mUiZSvNzwNYDEMgl0QsCch2Dv_8pVgMbsNSGiVrmqQTvmm35qDhXyPlS5QY-XJmrbCO4n_kUGHTpWikFh0XdiCfDftLnhxTti31ra8vWYnTDnkYTHCAxJS_E0BN967ScQiprHGj5hsxIRzEUuVRrNX9MjY2JOH_M8A7phfvqbjz74sz7-i17sCsWKIHQ!!/dl5/d5/L2dBISEvZ0FBIS9nQSEh/" TargetMode="External"/><Relationship Id="rId5" Type="http://schemas.openxmlformats.org/officeDocument/2006/relationships/hyperlink" Target="http://static.anaf.ro/static/10/Anaf/Declaratii_R/3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2017-11-06T10:11:00Z</dcterms:created>
  <dcterms:modified xsi:type="dcterms:W3CDTF">2017-11-06T10:14:00Z</dcterms:modified>
</cp:coreProperties>
</file>