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AD" w:rsidRPr="00EE5F41" w:rsidRDefault="00D77AAD" w:rsidP="00D77AAD">
      <w:pPr>
        <w:spacing w:before="100" w:beforeAutospacing="1" w:after="100" w:afterAutospacing="1" w:line="240" w:lineRule="auto"/>
        <w:jc w:val="both"/>
        <w:rPr>
          <w:rFonts w:eastAsia="Times New Roman" w:cstheme="minorHAnsi"/>
          <w:b/>
          <w:color w:val="515151"/>
        </w:rPr>
      </w:pPr>
      <w:r w:rsidRPr="00EE5F41">
        <w:rPr>
          <w:rFonts w:eastAsia="Times New Roman" w:cstheme="minorHAnsi"/>
          <w:b/>
          <w:color w:val="515151"/>
        </w:rPr>
        <w:t xml:space="preserve">16 </w:t>
      </w:r>
      <w:r w:rsidR="00F51234">
        <w:rPr>
          <w:rFonts w:eastAsia="Times New Roman" w:cstheme="minorHAnsi"/>
          <w:b/>
          <w:color w:val="515151"/>
        </w:rPr>
        <w:t>aprilie</w:t>
      </w:r>
      <w:r w:rsidRPr="00EE5F41">
        <w:rPr>
          <w:rFonts w:eastAsia="Times New Roman" w:cstheme="minorHAnsi"/>
          <w:b/>
          <w:color w:val="515151"/>
        </w:rPr>
        <w:t xml:space="preserve"> va fi ultima zi pentru efectuarea următoarelor raportări:</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Situaţia eliberărilor pentru consum de ţigarete/ţigări şi ţigări de foi în luna ... anul ....</w:t>
      </w:r>
      <w:r w:rsidRPr="00D77AAD">
        <w:rPr>
          <w:rFonts w:eastAsia="Times New Roman" w:cstheme="minorHAnsi"/>
          <w:color w:val="515151"/>
        </w:rPr>
        <w:t> Se depune de către antrepozitarii autorizaţi, destinatarii înregistraţi sau importatorii autorizaţi pentru produse din grupa tutunului prelucrat.</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Situaţia eliberărilor pentru consum de tutun fin tăiat, destinat rulării în ţigarete/alte tutunuri de fumat în luna ... anul ....</w:t>
      </w:r>
      <w:r w:rsidRPr="00D77AAD">
        <w:rPr>
          <w:rFonts w:eastAsia="Times New Roman" w:cstheme="minorHAnsi"/>
          <w:color w:val="515151"/>
        </w:rPr>
        <w:t> Se depune de către antrepozitarii autorizaţi, destinatarii înregistraţi sau importatorii autorizaţi pentru produse din grupa tutunului prelucrat.</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centralizatoare privind achizițiile/utilizările de produse accizabile și livrările de produse finite rezultate în luna ... anul ...</w:t>
      </w:r>
      <w:r w:rsidRPr="00D77AAD">
        <w:rPr>
          <w:rFonts w:eastAsia="Times New Roman" w:cstheme="minorHAnsi"/>
          <w:color w:val="515151"/>
        </w:rPr>
        <w:t>, pentru luna precedentă. Se depune de către operatorii economici care dețin autorizații de utilizator final (produse energetice, alcool etilic şi produse alcoolice).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centralizatoare privind achizițiile și livrările de produse accizabile pentru luna precedentă</w:t>
      </w:r>
      <w:r w:rsidRPr="00D77AAD">
        <w:rPr>
          <w:rFonts w:eastAsia="Times New Roman" w:cstheme="minorHAnsi"/>
          <w:color w:val="515151"/>
        </w:rPr>
        <w:t>. Se depune de către destinatarii înregistraţi şi reprezentanţii fiscali pentru achiziţiile şi livrările de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alcool și băuturi spirtoase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vinuri/bauturi fermentate/produse intermediare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bere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tutunuri prelucrate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produse energetice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depozitare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Jurnalele pentru luna precedentă privind livrările de combustibil destinat utilizării exclusiv pentru aviație sau navigaţie</w:t>
      </w:r>
      <w:r w:rsidRPr="00D77AAD">
        <w:rPr>
          <w:rFonts w:eastAsia="Times New Roman" w:cstheme="minorHAnsi"/>
          <w:color w:val="515151"/>
        </w:rPr>
        <w:t>. Trebuie depuse de către antrepozitarii autorizaţi pentru producţie/ depozitare.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lastRenderedPageBreak/>
        <w:t>Jurnalele pentru luna precedentă privind achizițiile/ livrările de combustibil destinat utilizării exclusiv pentru aviație sau navigaţie</w:t>
      </w:r>
      <w:r w:rsidRPr="00D77AAD">
        <w:rPr>
          <w:rFonts w:eastAsia="Times New Roman" w:cstheme="minorHAnsi"/>
          <w:color w:val="515151"/>
        </w:rPr>
        <w:t>. Se depun de către antrepozitarii autorizați pentru depozitare.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privind livrările de produse accizabile în luna ... anul ... pentru luna precedentă</w:t>
      </w:r>
      <w:r w:rsidRPr="00D77AAD">
        <w:rPr>
          <w:rFonts w:eastAsia="Times New Roman" w:cstheme="minorHAnsi"/>
          <w:color w:val="515151"/>
        </w:rPr>
        <w:t>. Se depune de către operatorii economici care deţin autorizaţii de expeditor înregistrat.</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Evidența achiziționării, utilizării și returnării marcajelor pentru luna precedentă</w:t>
      </w:r>
      <w:r w:rsidRPr="00D77AAD">
        <w:rPr>
          <w:rFonts w:eastAsia="Times New Roman" w:cstheme="minorHAnsi"/>
          <w:color w:val="515151"/>
        </w:rPr>
        <w:t>. Se depune de către antrepozitarii autorizaţi, destinatarii înregistraţi şi importatorii autorizaţi de produse supuse marcării.</w:t>
      </w:r>
    </w:p>
    <w:p w:rsidR="00D77AAD" w:rsidRPr="00EE5F41" w:rsidRDefault="00D77AAD" w:rsidP="00D77AAD">
      <w:pPr>
        <w:spacing w:before="100" w:beforeAutospacing="1" w:after="100" w:afterAutospacing="1" w:line="240" w:lineRule="auto"/>
        <w:jc w:val="both"/>
        <w:rPr>
          <w:rFonts w:cstheme="minorHAnsi"/>
          <w:color w:val="515151"/>
          <w:shd w:val="clear" w:color="auto" w:fill="FFFFFF"/>
        </w:rPr>
      </w:pPr>
      <w:r w:rsidRPr="00EE5F41">
        <w:rPr>
          <w:rStyle w:val="Strong"/>
          <w:rFonts w:cstheme="minorHAnsi"/>
          <w:color w:val="515151"/>
          <w:shd w:val="clear" w:color="auto" w:fill="FFFFFF"/>
        </w:rPr>
        <w:t>Important! </w:t>
      </w:r>
      <w:r w:rsidRPr="00EE5F41">
        <w:rPr>
          <w:rFonts w:cstheme="minorHAnsi"/>
          <w:color w:val="515151"/>
          <w:shd w:val="clear" w:color="auto" w:fill="FFFFFF"/>
        </w:rPr>
        <w:t xml:space="preserve">Cu toate că nu este declarație fiscală, </w:t>
      </w:r>
      <w:r w:rsidR="00A0242A">
        <w:rPr>
          <w:rFonts w:cstheme="minorHAnsi"/>
          <w:color w:val="515151"/>
          <w:shd w:val="clear" w:color="auto" w:fill="FFFFFF"/>
        </w:rPr>
        <w:t>îți reamintim</w:t>
      </w:r>
      <w:r w:rsidRPr="00EE5F41">
        <w:rPr>
          <w:rFonts w:cstheme="minorHAnsi"/>
          <w:color w:val="515151"/>
          <w:shd w:val="clear" w:color="auto" w:fill="FFFFFF"/>
        </w:rPr>
        <w:t xml:space="preserve"> că, până pe 15 </w:t>
      </w:r>
      <w:r w:rsidR="00F51234">
        <w:rPr>
          <w:rFonts w:cstheme="minorHAnsi"/>
          <w:color w:val="515151"/>
          <w:shd w:val="clear" w:color="auto" w:fill="FFFFFF"/>
        </w:rPr>
        <w:t>aprilie</w:t>
      </w:r>
      <w:r w:rsidRPr="00EE5F41">
        <w:rPr>
          <w:rFonts w:cstheme="minorHAnsi"/>
          <w:color w:val="515151"/>
          <w:shd w:val="clear" w:color="auto" w:fill="FFFFFF"/>
        </w:rPr>
        <w:t xml:space="preserve">, trebuie depusă declarația </w:t>
      </w:r>
      <w:r w:rsidRPr="00EE5F41">
        <w:rPr>
          <w:rFonts w:cstheme="minorHAnsi"/>
          <w:b/>
          <w:color w:val="515151"/>
          <w:shd w:val="clear" w:color="auto" w:fill="FFFFFF"/>
        </w:rPr>
        <w:t>Intrastat</w:t>
      </w:r>
      <w:r w:rsidR="00326DAE">
        <w:rPr>
          <w:rFonts w:cstheme="minorHAnsi"/>
          <w:color w:val="515151"/>
          <w:shd w:val="clear" w:color="auto" w:fill="FFFFFF"/>
        </w:rPr>
        <w:t>, al cărei prag valoric este și în 2018</w:t>
      </w:r>
      <w:r w:rsidRPr="00EE5F41">
        <w:rPr>
          <w:rFonts w:cstheme="minorHAnsi"/>
          <w:color w:val="515151"/>
          <w:shd w:val="clear" w:color="auto" w:fill="FFFFFF"/>
        </w:rPr>
        <w:t xml:space="preserve"> de </w:t>
      </w:r>
      <w:r w:rsidRPr="00EE5F41">
        <w:rPr>
          <w:rStyle w:val="Strong"/>
          <w:rFonts w:cstheme="minorHAnsi"/>
          <w:color w:val="515151"/>
          <w:shd w:val="clear" w:color="auto" w:fill="FFFFFF"/>
        </w:rPr>
        <w:t>900.000 de lei</w:t>
      </w:r>
      <w:r w:rsidRPr="00EE5F41">
        <w:rPr>
          <w:rFonts w:cstheme="minorHAnsi"/>
          <w:color w:val="515151"/>
          <w:shd w:val="clear" w:color="auto" w:fill="FFFFFF"/>
        </w:rPr>
        <w:t xml:space="preserve">, atât pentru introducerile intracomunitare de bunuri, cât şi pentru expedierile intracomunitare de bunuri. Termenul-limită de transmitere a acestei declarații îl reprezintă întotdeauna data de 15 a lunii următoare celei de referință, chiar dacă într-o lună aceasta este o zi liberă, precum sâmbăta sau duminica. Totuși, declarația poate fi depusă online şi în </w:t>
      </w:r>
      <w:r w:rsidR="00AF4998">
        <w:rPr>
          <w:rFonts w:cstheme="minorHAnsi"/>
          <w:color w:val="515151"/>
          <w:shd w:val="clear" w:color="auto" w:fill="FFFFFF"/>
        </w:rPr>
        <w:t>prima zi lucrătoare care urmează</w:t>
      </w:r>
      <w:r w:rsidRPr="00EE5F41">
        <w:rPr>
          <w:rFonts w:cstheme="minorHAnsi"/>
          <w:color w:val="515151"/>
          <w:shd w:val="clear" w:color="auto" w:fill="FFFFFF"/>
        </w:rPr>
        <w:t xml:space="preserve"> datei de 15 (</w:t>
      </w:r>
      <w:r w:rsidRPr="00EE5F41">
        <w:rPr>
          <w:rStyle w:val="Strong"/>
          <w:rFonts w:cstheme="minorHAnsi"/>
          <w:color w:val="515151"/>
          <w:shd w:val="clear" w:color="auto" w:fill="FFFFFF"/>
        </w:rPr>
        <w:t xml:space="preserve">16 </w:t>
      </w:r>
      <w:r w:rsidR="00F51234">
        <w:rPr>
          <w:rStyle w:val="Strong"/>
          <w:rFonts w:cstheme="minorHAnsi"/>
          <w:color w:val="515151"/>
          <w:shd w:val="clear" w:color="auto" w:fill="FFFFFF"/>
        </w:rPr>
        <w:t>aprilie</w:t>
      </w:r>
      <w:r w:rsidR="00A0242A">
        <w:rPr>
          <w:rStyle w:val="Strong"/>
          <w:rFonts w:cstheme="minorHAnsi"/>
          <w:color w:val="515151"/>
          <w:shd w:val="clear" w:color="auto" w:fill="FFFFFF"/>
        </w:rPr>
        <w:t xml:space="preserve"> </w:t>
      </w:r>
      <w:r w:rsidRPr="00EE5F41">
        <w:rPr>
          <w:rFonts w:cstheme="minorHAnsi"/>
          <w:color w:val="515151"/>
          <w:shd w:val="clear" w:color="auto" w:fill="FFFFFF"/>
        </w:rPr>
        <w:t xml:space="preserve">în cazul lunii în curs, în condițiile în care ziua de 15 pică într-o </w:t>
      </w:r>
      <w:r w:rsidR="00A0242A">
        <w:rPr>
          <w:rFonts w:cstheme="minorHAnsi"/>
          <w:color w:val="515151"/>
          <w:shd w:val="clear" w:color="auto" w:fill="FFFFFF"/>
        </w:rPr>
        <w:t>duminică</w:t>
      </w:r>
      <w:r w:rsidRPr="00EE5F41">
        <w:rPr>
          <w:rFonts w:cstheme="minorHAnsi"/>
          <w:color w:val="515151"/>
          <w:shd w:val="clear" w:color="auto" w:fill="FFFFFF"/>
        </w:rPr>
        <w:t>). </w:t>
      </w:r>
    </w:p>
    <w:p w:rsidR="00D77AAD" w:rsidRPr="00D77AAD" w:rsidRDefault="00D77AAD" w:rsidP="00D77AAD">
      <w:pPr>
        <w:spacing w:before="375" w:after="188" w:line="240" w:lineRule="auto"/>
        <w:outlineLvl w:val="1"/>
        <w:rPr>
          <w:rFonts w:eastAsia="Times New Roman" w:cstheme="minorHAnsi"/>
          <w:b/>
          <w:color w:val="515151"/>
        </w:rPr>
      </w:pPr>
      <w:r w:rsidRPr="00D77AAD">
        <w:rPr>
          <w:rFonts w:eastAsia="Times New Roman" w:cstheme="minorHAnsi"/>
          <w:b/>
          <w:color w:val="515151"/>
        </w:rPr>
        <w:t xml:space="preserve">20 </w:t>
      </w:r>
      <w:r w:rsidR="00F51234">
        <w:rPr>
          <w:rFonts w:eastAsia="Times New Roman" w:cstheme="minorHAnsi"/>
          <w:b/>
          <w:color w:val="515151"/>
        </w:rPr>
        <w:t>aprilie</w:t>
      </w:r>
      <w:r w:rsidRPr="00EE5F41">
        <w:rPr>
          <w:rFonts w:eastAsia="Times New Roman" w:cstheme="minorHAnsi"/>
          <w:b/>
          <w:color w:val="515151"/>
        </w:rPr>
        <w:t xml:space="preserve"> va fi</w:t>
      </w:r>
      <w:r w:rsidRPr="00D77AAD">
        <w:rPr>
          <w:rFonts w:eastAsia="Times New Roman" w:cstheme="minorHAnsi"/>
          <w:b/>
          <w:color w:val="515151"/>
        </w:rPr>
        <w:t xml:space="preserve"> termenul pentru depunerea:</w:t>
      </w:r>
    </w:p>
    <w:p w:rsid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Declarației speciale de taxă pe valoarea adăugată pentru trimestrul precedent (sistem VOES)</w:t>
      </w:r>
      <w:r w:rsidRPr="00D77AAD">
        <w:rPr>
          <w:rFonts w:eastAsia="Times New Roman" w:cstheme="minorHAnsi"/>
          <w:color w:val="515151"/>
        </w:rPr>
        <w:t>. Se depune de către persoanele impozabile nestabilite în UE care prestează servicii electronice de telecomunicații, de radiodifiziune și televiziune persoanelor neimpozabile, dar și de persoanele impozabile stabilite în UE, dar în alt stat membru decât statul membru de consum care prestează servicii electronice, de telecomunicații, de radiodifiziune și televiziune.</w:t>
      </w:r>
    </w:p>
    <w:p w:rsidR="00D77AAD" w:rsidRPr="00EE5F41" w:rsidRDefault="00D77AAD" w:rsidP="00D77AAD">
      <w:pPr>
        <w:spacing w:before="390" w:after="390" w:line="240" w:lineRule="auto"/>
        <w:rPr>
          <w:rFonts w:eastAsia="Times New Roman" w:cstheme="minorHAnsi"/>
          <w:b/>
          <w:color w:val="515151"/>
        </w:rPr>
      </w:pPr>
      <w:r w:rsidRPr="00EE5F41">
        <w:rPr>
          <w:rFonts w:eastAsia="Times New Roman" w:cstheme="minorHAnsi"/>
          <w:b/>
          <w:color w:val="515151"/>
        </w:rPr>
        <w:t xml:space="preserve">Pe 25 </w:t>
      </w:r>
      <w:r w:rsidR="00F51234">
        <w:rPr>
          <w:rFonts w:eastAsia="Times New Roman" w:cstheme="minorHAnsi"/>
          <w:b/>
          <w:color w:val="515151"/>
        </w:rPr>
        <w:t>aprilie</w:t>
      </w:r>
      <w:r w:rsidRPr="00EE5F41">
        <w:rPr>
          <w:rFonts w:eastAsia="Times New Roman" w:cstheme="minorHAnsi"/>
          <w:b/>
          <w:color w:val="515151"/>
        </w:rPr>
        <w:t xml:space="preserve"> își au termenul următoarele declarații:</w:t>
      </w:r>
    </w:p>
    <w:p w:rsidR="00D77AAD" w:rsidRPr="00EE5F41" w:rsidRDefault="00D77AAD" w:rsidP="00D77AAD">
      <w:pPr>
        <w:spacing w:before="390" w:after="390" w:line="240" w:lineRule="auto"/>
        <w:rPr>
          <w:rFonts w:cstheme="minorHAnsi"/>
          <w:color w:val="515151"/>
          <w:shd w:val="clear" w:color="auto" w:fill="FFFFFF"/>
        </w:rPr>
      </w:pPr>
      <w:r w:rsidRPr="00EE5F41">
        <w:rPr>
          <w:rStyle w:val="Strong"/>
          <w:rFonts w:cstheme="minorHAnsi"/>
          <w:color w:val="515151"/>
          <w:shd w:val="clear" w:color="auto" w:fill="FFFFFF"/>
        </w:rPr>
        <w:t>Notificarea pentru încetarea aplicării sistemului TVA la încasare, Formularul 097</w:t>
      </w:r>
      <w:r w:rsidRPr="00EE5F41">
        <w:rPr>
          <w:rFonts w:cstheme="minorHAnsi"/>
          <w:color w:val="515151"/>
          <w:shd w:val="clear" w:color="auto" w:fill="FFFFFF"/>
        </w:rPr>
        <w:t>. Se depune de către persoanele impozabile care depășesc plafonul de 2.250.000 lei, de persoanele impozabile care renunță la aplicarea sistemului TVA la încasare. În ceea ce priveşte persoanele impozabile care aplică sistemul TVA la încasare şi care nu depăşesc în cursul unui an plafonul de 2.250.000 lei, dar care renunţă la aplicarea sistemului respectiv, prin opţiune, depun notificarea pentru ieşirea din sistem între data de 1 şi 25 ale oricărei luni.</w:t>
      </w:r>
    </w:p>
    <w:p w:rsidR="00D77AAD" w:rsidRPr="00EE5F41" w:rsidRDefault="00D77AAD" w:rsidP="00D77AAD">
      <w:pPr>
        <w:spacing w:before="390" w:after="390" w:line="240" w:lineRule="auto"/>
        <w:rPr>
          <w:rFonts w:cstheme="minorHAnsi"/>
          <w:color w:val="515151"/>
          <w:shd w:val="clear" w:color="auto" w:fill="FFFFFF"/>
        </w:rPr>
      </w:pPr>
      <w:r w:rsidRPr="00EE5F41">
        <w:rPr>
          <w:rStyle w:val="Strong"/>
          <w:rFonts w:cstheme="minorHAnsi"/>
          <w:color w:val="515151"/>
          <w:shd w:val="clear" w:color="auto" w:fill="FFFFFF"/>
        </w:rPr>
        <w:t>Declaraţia privind obligaţiile de plată la bugetul de stat, Formularul 100</w:t>
      </w:r>
      <w:r w:rsidRPr="00EE5F41">
        <w:rPr>
          <w:rFonts w:cstheme="minorHAnsi"/>
          <w:color w:val="515151"/>
          <w:shd w:val="clear" w:color="auto" w:fill="FFFFFF"/>
        </w:rPr>
        <w:t>. Se completează de plătitorii de impozite, taxe și contribuții sociale cărora le revin obligații de plată la bugetul stat. Declaraţia se depune în format electronic sau pe hârtie prin codificarea informaţiilor sub formă de cod de bare. Potrivit normelor în vigoare, contribuabilii mari şi contribuabilii mijlocii, precum şi sediile secundare ale acestora, au obligaţia depunerii prin mijloace electronice de transmitere la distanţă.</w:t>
      </w:r>
    </w:p>
    <w:p w:rsidR="00F51234" w:rsidRDefault="00D77AAD" w:rsidP="00D77AAD">
      <w:pPr>
        <w:spacing w:before="390" w:after="390" w:line="240" w:lineRule="auto"/>
        <w:rPr>
          <w:rFonts w:cstheme="minorHAnsi"/>
          <w:color w:val="515151"/>
          <w:shd w:val="clear" w:color="auto" w:fill="FFFFFF"/>
        </w:rPr>
      </w:pPr>
      <w:r w:rsidRPr="00EE5F41">
        <w:rPr>
          <w:rStyle w:val="Strong"/>
          <w:rFonts w:cstheme="minorHAnsi"/>
          <w:color w:val="515151"/>
          <w:shd w:val="clear" w:color="auto" w:fill="FFFFFF"/>
        </w:rPr>
        <w:t>Atenție!</w:t>
      </w:r>
      <w:r w:rsidRPr="00EE5F41">
        <w:rPr>
          <w:rFonts w:cstheme="minorHAnsi"/>
          <w:color w:val="515151"/>
          <w:shd w:val="clear" w:color="auto" w:fill="FFFFFF"/>
        </w:rPr>
        <w:t xml:space="preserve"> Până pe 25 </w:t>
      </w:r>
      <w:r w:rsidR="00F51234">
        <w:rPr>
          <w:rFonts w:cstheme="minorHAnsi"/>
          <w:color w:val="515151"/>
          <w:shd w:val="clear" w:color="auto" w:fill="FFFFFF"/>
        </w:rPr>
        <w:t>aprilie</w:t>
      </w:r>
      <w:r w:rsidRPr="00EE5F41">
        <w:rPr>
          <w:rFonts w:cstheme="minorHAnsi"/>
          <w:color w:val="515151"/>
          <w:shd w:val="clear" w:color="auto" w:fill="FFFFFF"/>
        </w:rPr>
        <w:t xml:space="preserve">, microîntreprinderile trebuie să achite impozitul pe venit aferent </w:t>
      </w:r>
      <w:r w:rsidR="00F51234">
        <w:rPr>
          <w:rFonts w:cstheme="minorHAnsi"/>
          <w:color w:val="515151"/>
          <w:shd w:val="clear" w:color="auto" w:fill="FFFFFF"/>
        </w:rPr>
        <w:t>primului</w:t>
      </w:r>
      <w:r w:rsidRPr="00EE5F41">
        <w:rPr>
          <w:rFonts w:cstheme="minorHAnsi"/>
          <w:color w:val="515151"/>
          <w:shd w:val="clear" w:color="auto" w:fill="FFFFFF"/>
        </w:rPr>
        <w:t xml:space="preserve"> trimest</w:t>
      </w:r>
      <w:r w:rsidR="00F51234">
        <w:rPr>
          <w:rFonts w:cstheme="minorHAnsi"/>
          <w:color w:val="515151"/>
          <w:shd w:val="clear" w:color="auto" w:fill="FFFFFF"/>
        </w:rPr>
        <w:t>ru din 2018</w:t>
      </w:r>
      <w:r w:rsidRPr="00EE5F41">
        <w:rPr>
          <w:rFonts w:cstheme="minorHAnsi"/>
          <w:color w:val="515151"/>
          <w:shd w:val="clear" w:color="auto" w:fill="FFFFFF"/>
        </w:rPr>
        <w:t>, în timp ce firmele plătitoare de impozit pe profit care aplică sistemul de declarare și plată a impozitului pe profit anual trebuie să efectueze plata anti</w:t>
      </w:r>
      <w:r w:rsidR="00F51234">
        <w:rPr>
          <w:rFonts w:cstheme="minorHAnsi"/>
          <w:color w:val="515151"/>
          <w:shd w:val="clear" w:color="auto" w:fill="FFFFFF"/>
        </w:rPr>
        <w:t>cipată aferentă trimestrului I din anul în curs</w:t>
      </w:r>
      <w:r w:rsidRPr="00EE5F41">
        <w:rPr>
          <w:rFonts w:cstheme="minorHAnsi"/>
          <w:color w:val="515151"/>
          <w:shd w:val="clear" w:color="auto" w:fill="FFFFFF"/>
        </w:rPr>
        <w:t xml:space="preserve">. </w:t>
      </w:r>
    </w:p>
    <w:p w:rsidR="00D77AAD" w:rsidRPr="00F51234" w:rsidRDefault="00D77AAD" w:rsidP="00D77AAD">
      <w:pPr>
        <w:spacing w:before="390" w:after="390" w:line="240" w:lineRule="auto"/>
        <w:rPr>
          <w:rFonts w:cstheme="minorHAnsi"/>
          <w:color w:val="515151"/>
          <w:shd w:val="clear" w:color="auto" w:fill="FFFFFF"/>
        </w:rPr>
      </w:pPr>
      <w:r w:rsidRPr="00EE5F41">
        <w:rPr>
          <w:rFonts w:eastAsia="Times New Roman" w:cstheme="minorHAnsi"/>
          <w:b/>
          <w:bCs/>
          <w:color w:val="515151"/>
        </w:rPr>
        <w:lastRenderedPageBreak/>
        <w:t>Declaraţia privind obligaţiile de plată a contribuţiilor sociale, impozitului pe venit si evidenţa nominală a persoanelor asigurate, Formularul 112</w:t>
      </w:r>
      <w:r w:rsidRPr="00D77AAD">
        <w:rPr>
          <w:rFonts w:eastAsia="Times New Roman" w:cstheme="minorHAnsi"/>
          <w:color w:val="515151"/>
        </w:rPr>
        <w:t>. Aceasta se depune pentru luna precedentă de către:</w:t>
      </w:r>
    </w:p>
    <w:p w:rsidR="00D77AAD" w:rsidRPr="00D77AAD" w:rsidRDefault="00D77AAD" w:rsidP="00D77AAD">
      <w:pPr>
        <w:numPr>
          <w:ilvl w:val="0"/>
          <w:numId w:val="3"/>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persoanele fizice și juridice care au calitatea de angajatori sau sunt asimilate acestora, instituțiile prevăzute la art.136 lit. d) - f) din noul Cod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p w:rsidR="00D77AAD" w:rsidRPr="00D77AAD" w:rsidRDefault="00D77AAD" w:rsidP="00D77AAD">
      <w:pPr>
        <w:numPr>
          <w:ilvl w:val="0"/>
          <w:numId w:val="3"/>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persoanele fizice și juridice care au calitatea de angajatori, precum și entitățile asimilate angajatorului, care au calitatea de plătitori de venituri din activități dependente, instituțiile publice care calculează, rețin, plătesc și suportă contribuții sociale obligatorii în numele asiguratului, precum și orice plătitor de venituri de natură salarială sau asimilate salariilor.</w:t>
      </w:r>
    </w:p>
    <w:p w:rsidR="00D77AAD" w:rsidRPr="00D77AAD" w:rsidRDefault="00D77AAD" w:rsidP="00D77AAD">
      <w:pPr>
        <w:spacing w:before="390" w:after="390" w:line="240" w:lineRule="auto"/>
        <w:rPr>
          <w:rFonts w:eastAsia="Times New Roman" w:cstheme="minorHAnsi"/>
          <w:color w:val="515151"/>
        </w:rPr>
      </w:pPr>
      <w:r w:rsidRPr="00D77AAD">
        <w:rPr>
          <w:rFonts w:eastAsia="Times New Roman" w:cstheme="minorHAnsi"/>
          <w:color w:val="515151"/>
        </w:rPr>
        <w:t>În plus, formularul 112 se depune și pentru trimestrul precedent (</w:t>
      </w:r>
      <w:r w:rsidR="00F51234">
        <w:rPr>
          <w:rFonts w:eastAsia="Times New Roman" w:cstheme="minorHAnsi"/>
          <w:color w:val="515151"/>
        </w:rPr>
        <w:t>primul din 2018</w:t>
      </w:r>
      <w:r w:rsidRPr="00D77AAD">
        <w:rPr>
          <w:rFonts w:eastAsia="Times New Roman" w:cstheme="minorHAnsi"/>
          <w:color w:val="515151"/>
        </w:rPr>
        <w:t>) de către contribuabilii prevăzuți la art. 80 alin. (2) din Codul fiscal, respectiv:</w:t>
      </w:r>
    </w:p>
    <w:p w:rsidR="00D77AAD" w:rsidRPr="00D77AAD" w:rsidRDefault="00D77AAD" w:rsidP="00D77AAD">
      <w:pPr>
        <w:numPr>
          <w:ilvl w:val="0"/>
          <w:numId w:val="6"/>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asociaţii, fundaţii sau alte entităţi fără scop patrimonial, persoane juridice;</w:t>
      </w:r>
    </w:p>
    <w:p w:rsidR="00D77AAD" w:rsidRPr="00D77AAD" w:rsidRDefault="00D77AAD" w:rsidP="00D77AAD">
      <w:pPr>
        <w:numPr>
          <w:ilvl w:val="0"/>
          <w:numId w:val="6"/>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 xml:space="preserve">persoanele juridice plătitoare de impozit pe profit care, </w:t>
      </w:r>
      <w:r w:rsidR="00F51234">
        <w:rPr>
          <w:rFonts w:eastAsia="Times New Roman" w:cstheme="minorHAnsi"/>
          <w:color w:val="515151"/>
        </w:rPr>
        <w:t>în anul precedent</w:t>
      </w:r>
      <w:r w:rsidRPr="00D77AAD">
        <w:rPr>
          <w:rFonts w:eastAsia="Times New Roman" w:cstheme="minorHAnsi"/>
          <w:color w:val="515151"/>
        </w:rPr>
        <w:t>, au înregistrat venituri totale de până la 100.000 euro şi au avut un număr mediu de până la trei salariaţi exclusiv;</w:t>
      </w:r>
    </w:p>
    <w:p w:rsidR="00D77AAD" w:rsidRPr="00D77AAD" w:rsidRDefault="00D77AAD" w:rsidP="00D77AAD">
      <w:pPr>
        <w:numPr>
          <w:ilvl w:val="0"/>
          <w:numId w:val="6"/>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persoanele juridice plătitoare de impozit pe veniturile microîntreprinderilor care, anul trecut, au avut un număr mediu de până la trei salariaţi exclusiv;</w:t>
      </w:r>
    </w:p>
    <w:p w:rsidR="00D77AAD" w:rsidRPr="00EE5F41" w:rsidRDefault="00D77AAD" w:rsidP="00D77AAD">
      <w:pPr>
        <w:numPr>
          <w:ilvl w:val="0"/>
          <w:numId w:val="6"/>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persoanele fizice autorizate şi întreprinderile individuale, precum şi persoanele fizice care exercită profesii liberale şi asocierile fără personalitate juridică constituite între persoane fizice, persoanele fizice care deţin capacitatea de a încheia contracte individuale de muncă în calitate de angajator, care au, potrivit legii, personal angajat pe bază de contract individual de muncă.</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Declaraţia privind veniturile sub formă de salarii din străinătate obţinute de către persoanele fizice care desfăşoară activitate în România şi de către persoanele fizice române angajate ale misiunilor diplomatice şi posturilor consulare acreditate în România pentru luna precedentă, Formularul 224</w:t>
      </w:r>
      <w:r w:rsidRPr="00EE5F41">
        <w:rPr>
          <w:rFonts w:eastAsia="Times New Roman" w:cstheme="minorHAnsi"/>
          <w:color w:val="515151"/>
        </w:rPr>
        <w:t>. Se depune de către persoanele fizice care obţin salarii din străinătate pentru activităţi în România şi persoanele fizice române angajate ale misiunilor diplomatice şi posturilor consulare acreditate în România.</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Decontul de taxă pe valoarea adăugată, Formularul 300</w:t>
      </w:r>
      <w:r w:rsidRPr="00EE5F41">
        <w:rPr>
          <w:rFonts w:eastAsia="Times New Roman" w:cstheme="minorHAnsi"/>
          <w:color w:val="515151"/>
        </w:rPr>
        <w:t>. Se depune lunar, trimestrial, semestrial sau anual de persoanele impozabile înregistrate în scopuri de TVA conform art. 316 din noul Cod fiscal. Formularul se completează electronic cu ajutorul </w:t>
      </w:r>
      <w:hyperlink r:id="rId7" w:tgtFrame="_blank" w:history="1">
        <w:r w:rsidRPr="00EE5F41">
          <w:rPr>
            <w:rFonts w:eastAsia="Times New Roman" w:cstheme="minorHAnsi"/>
            <w:color w:val="12B5E5"/>
            <w:u w:val="single"/>
          </w:rPr>
          <w:t>programului ANAF</w:t>
        </w:r>
      </w:hyperlink>
      <w:r w:rsidRPr="00EE5F41">
        <w:rPr>
          <w:rFonts w:eastAsia="Times New Roman" w:cstheme="minorHAnsi"/>
          <w:color w:val="515151"/>
        </w:rPr>
        <w:t>.</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Decontul special de taxă pe valoarea adăugată pentru luna precedentă, Formularul 301</w:t>
      </w:r>
      <w:r w:rsidRPr="00EE5F41">
        <w:rPr>
          <w:rFonts w:eastAsia="Times New Roman" w:cstheme="minorHAnsi"/>
          <w:color w:val="515151"/>
        </w:rPr>
        <w:t>. Se completează de persoanele menționate în instrucțiunile de completare a formularului, pentru fiecare secțiune şi se întocmeşte în două exemplare, semnate şi ştampilate. Formularul se completează cu ajutorul </w:t>
      </w:r>
      <w:hyperlink r:id="rId8" w:tgtFrame="_blank" w:history="1">
        <w:r w:rsidRPr="00EE5F41">
          <w:rPr>
            <w:rFonts w:eastAsia="Times New Roman" w:cstheme="minorHAnsi"/>
            <w:color w:val="12B5E5"/>
            <w:u w:val="single"/>
          </w:rPr>
          <w:t>programului de asistenţă</w:t>
        </w:r>
      </w:hyperlink>
      <w:r w:rsidR="002F4233" w:rsidRPr="00EE5F41">
        <w:rPr>
          <w:rFonts w:eastAsia="Times New Roman" w:cstheme="minorHAnsi"/>
          <w:color w:val="515151"/>
        </w:rPr>
        <w:t xml:space="preserve"> </w:t>
      </w:r>
      <w:r w:rsidRPr="00EE5F41">
        <w:rPr>
          <w:rFonts w:eastAsia="Times New Roman" w:cstheme="minorHAnsi"/>
          <w:color w:val="515151"/>
        </w:rPr>
        <w:t>pus la dispoziţie de MFP.</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Declarația privind sumele rezultate din ajustarea taxei pe valoarea adăugată, Formularul 307</w:t>
      </w:r>
      <w:r w:rsidRPr="00EE5F41">
        <w:rPr>
          <w:rFonts w:eastAsia="Times New Roman" w:cstheme="minorHAnsi"/>
          <w:color w:val="515151"/>
        </w:rPr>
        <w:t xml:space="preserve">. Se depune de persoanele impozabile prevăzute la art. 280 alin. (6), art. 270 alin. (7), art.310 alin. (7), art.316 alin. (11) lit. a) - e) și g) din noul Cod fiscal. Declaraţia se depune la organul fiscal în a cărui </w:t>
      </w:r>
      <w:r w:rsidRPr="00EE5F41">
        <w:rPr>
          <w:rFonts w:eastAsia="Times New Roman" w:cstheme="minorHAnsi"/>
          <w:color w:val="515151"/>
        </w:rPr>
        <w:lastRenderedPageBreak/>
        <w:t>evidenţă persoana impozabilă este înregistrată ca plătitor de impozite şi taxe, direct sau prin împuternicit, la registratură sau la poştă, prin scrisoare recomandată.</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Declarația privind taxa pe valoarea adăugată colectată datorată de către persoanele impozabile al căror cod de înregistrare în scopuri de taxă pe valoarea adăugată a fost anulat conform art. 316 alin. (11) lit. a) - e), lit. g) sau lit.h) din Codul fiscal, Formularul 311</w:t>
      </w:r>
      <w:r w:rsidRPr="00EE5F41">
        <w:rPr>
          <w:rFonts w:eastAsia="Times New Roman" w:cstheme="minorHAnsi"/>
          <w:color w:val="515151"/>
        </w:rPr>
        <w:t>. Se depune de persoanele impozabile al căror cod de TVA a fost anulat conform art. 316 alin. (11) lit. a) - e), lit. g) sau lit. h) din Codul fiscal și care efectuează în perioada în care nu au cod valid de TVA, livrări și/sau achiziții /prestări de bunuri/ servicii care sunt obligate la plata TVA. Declaraţia se depune, la organul fiscal în a cărui rază teritorială persoana impozabilă îşi are domiciliul fiscal sau în a cărui evidenţă aceasta se află înregistrată ca plătitor de impozite şi taxe.</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Declarația recapitulativă privind livrările/achizițiile/prestările intracomunitare de bunuri pentru luna trecută, Formular 390 VIES</w:t>
      </w:r>
      <w:r w:rsidRPr="00EE5F41">
        <w:rPr>
          <w:rFonts w:eastAsia="Times New Roman" w:cstheme="minorHAnsi"/>
          <w:color w:val="515151"/>
        </w:rPr>
        <w:t>. Se depune de către contribuabilii înregistrați în scopuri de TVA conform art. 316 sau art. 317 din Codul fiscal. Declaraţiile recapitulative se depun lunar numai pentru perioadele în care ia naştere exigibilitatea taxei pentru operaţiunile menţionate la art. 325 alin. (1) din Legea nr. 227/2015 privind codul fiscal, până la data de 25 inclusiv a lunii următoare acesteia.</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Cererea de restituire a accizelor în cazul vânzărilor la distanţă, pe trimestrul precedent - Formular (anexa nr. 39)</w:t>
      </w:r>
      <w:r w:rsidRPr="00EE5F41">
        <w:rPr>
          <w:rFonts w:eastAsia="Times New Roman" w:cstheme="minorHAnsi"/>
          <w:color w:val="515151"/>
        </w:rPr>
        <w:t>. Se depune de către vânzători pentru livrările efectuate în cadrul vânzării la distanţă.</w:t>
      </w:r>
    </w:p>
    <w:p w:rsidR="00D77AAD" w:rsidRPr="00EE5F41" w:rsidRDefault="00D77AAD" w:rsidP="00D77AAD">
      <w:pPr>
        <w:pStyle w:val="Heading2"/>
        <w:spacing w:before="375" w:beforeAutospacing="0" w:after="188" w:afterAutospacing="0"/>
        <w:rPr>
          <w:rFonts w:asciiTheme="minorHAnsi" w:hAnsiTheme="minorHAnsi" w:cstheme="minorHAnsi"/>
          <w:bCs w:val="0"/>
          <w:color w:val="515151"/>
          <w:sz w:val="22"/>
          <w:szCs w:val="22"/>
        </w:rPr>
      </w:pPr>
      <w:r w:rsidRPr="00EE5F41">
        <w:rPr>
          <w:rFonts w:asciiTheme="minorHAnsi" w:hAnsiTheme="minorHAnsi" w:cstheme="minorHAnsi"/>
          <w:bCs w:val="0"/>
          <w:color w:val="515151"/>
          <w:sz w:val="22"/>
          <w:szCs w:val="22"/>
        </w:rPr>
        <w:t xml:space="preserve">Taxele și impozitele ce trebuie plătite până pe 25 </w:t>
      </w:r>
      <w:r w:rsidR="00F51234">
        <w:rPr>
          <w:rFonts w:asciiTheme="minorHAnsi" w:hAnsiTheme="minorHAnsi" w:cstheme="minorHAnsi"/>
          <w:bCs w:val="0"/>
          <w:color w:val="515151"/>
          <w:sz w:val="22"/>
          <w:szCs w:val="22"/>
        </w:rPr>
        <w:t>aprilie</w:t>
      </w:r>
      <w:r w:rsidRPr="00EE5F41">
        <w:rPr>
          <w:rFonts w:asciiTheme="minorHAnsi" w:hAnsiTheme="minorHAnsi" w:cstheme="minorHAnsi"/>
          <w:bCs w:val="0"/>
          <w:color w:val="515151"/>
          <w:sz w:val="22"/>
          <w:szCs w:val="22"/>
        </w:rPr>
        <w:t xml:space="preserve">, </w:t>
      </w:r>
      <w:r w:rsidR="002F4233" w:rsidRPr="00EE5F41">
        <w:rPr>
          <w:rFonts w:asciiTheme="minorHAnsi" w:hAnsiTheme="minorHAnsi" w:cstheme="minorHAnsi"/>
          <w:bCs w:val="0"/>
          <w:color w:val="515151"/>
          <w:sz w:val="22"/>
          <w:szCs w:val="22"/>
        </w:rPr>
        <w:t>inclusiv</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color w:val="515151"/>
        </w:rPr>
        <w:t xml:space="preserve">Conform calendarului fiscal pus la dispoziția contribuabililor de ANAF, 25 </w:t>
      </w:r>
      <w:r w:rsidR="00F51234">
        <w:rPr>
          <w:rFonts w:eastAsia="Times New Roman" w:cstheme="minorHAnsi"/>
          <w:color w:val="515151"/>
        </w:rPr>
        <w:t>aprilie</w:t>
      </w:r>
      <w:r w:rsidRPr="00D77AAD">
        <w:rPr>
          <w:rFonts w:eastAsia="Times New Roman" w:cstheme="minorHAnsi"/>
          <w:color w:val="515151"/>
        </w:rPr>
        <w:t xml:space="preserve"> va fi termenul-limită pentru următoarele taxe și impozite:</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Plata impozitului reținut la sursă în luna precedentă</w:t>
      </w:r>
      <w:r w:rsidRPr="00D77AAD">
        <w:rPr>
          <w:rFonts w:eastAsia="Times New Roman" w:cstheme="minorHAnsi"/>
          <w:color w:val="515151"/>
        </w:rPr>
        <w:t> - se plătește de către contribuabilii care obțin venituri din drepturi de proprietate intelectuală, din premii și jocuri de noroc, obținute de nerezidenți sau din alte surse;</w:t>
      </w:r>
    </w:p>
    <w:p w:rsidR="004C78B0" w:rsidRPr="00EE5F41" w:rsidRDefault="00D77AAD" w:rsidP="000D3025">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 xml:space="preserve">Plata anticipată privind impozitul </w:t>
      </w:r>
      <w:r w:rsidR="00F51234">
        <w:rPr>
          <w:rFonts w:eastAsia="Times New Roman" w:cstheme="minorHAnsi"/>
          <w:b/>
          <w:bCs/>
          <w:color w:val="515151"/>
        </w:rPr>
        <w:t>pe profit, aferentă trimestrul I 2018</w:t>
      </w:r>
      <w:r w:rsidRPr="00D77AAD">
        <w:rPr>
          <w:rFonts w:eastAsia="Times New Roman" w:cstheme="minorHAnsi"/>
          <w:color w:val="515151"/>
        </w:rPr>
        <w:t> - se achită de către contribuabilii care aplică sistemul de declarare și plată a impozitului pe profit anual, cu plăți ant</w:t>
      </w:r>
      <w:r w:rsidR="004C78B0" w:rsidRPr="00EE5F41">
        <w:rPr>
          <w:rFonts w:eastAsia="Times New Roman" w:cstheme="minorHAnsi"/>
          <w:color w:val="515151"/>
        </w:rPr>
        <w:t>icipate efectuate trimestrial.</w:t>
      </w:r>
    </w:p>
    <w:p w:rsidR="00D77AAD" w:rsidRDefault="00D77AAD" w:rsidP="000D3025">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Plata taxei anuale pentru autorizația de exploatare a jocurilor de noroc</w:t>
      </w:r>
      <w:r w:rsidR="00F51234">
        <w:rPr>
          <w:rFonts w:eastAsia="Times New Roman" w:cstheme="minorHAnsi"/>
          <w:b/>
          <w:bCs/>
          <w:color w:val="515151"/>
        </w:rPr>
        <w:t xml:space="preserve"> </w:t>
      </w:r>
      <w:r w:rsidRPr="00D77AAD">
        <w:rPr>
          <w:rFonts w:eastAsia="Times New Roman" w:cstheme="minorHAnsi"/>
          <w:color w:val="515151"/>
        </w:rPr>
        <w:t>(sumele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următoare).Se plătește de către organizatorii de jocuri de tip pariu, jocuri de noroc, bingo organizate prin TV, pariuri on-line, jocuri bingo prin internet, sisteme de telefonie fixă sau mobilă, jocuri de noroc on-line;</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lastRenderedPageBreak/>
        <w:t>Plata cotei de contribuţii sociale pentru şomaj pentru luna precedentă</w:t>
      </w:r>
      <w:r w:rsidRPr="00D77AAD">
        <w:rPr>
          <w:rFonts w:eastAsia="Times New Roman" w:cstheme="minorHAnsi"/>
          <w:color w:val="515151"/>
        </w:rPr>
        <w:t>. Se depune de către asiguraţii care au încheiat opţional un contract de asigurare pentru şomaj cu Agenţia de ocupare a forţei de muncă judeţeană/a municipiului Bucureşti;</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Contribuția de asigurări sociale (pensii) către Casa Naţională de Pensii Publice (CNPP) pentru luna precedentă</w:t>
      </w:r>
      <w:r w:rsidRPr="00D77AAD">
        <w:rPr>
          <w:rFonts w:eastAsia="Times New Roman" w:cstheme="minorHAnsi"/>
          <w:color w:val="515151"/>
        </w:rPr>
        <w:t> - se plătește de către asigurații în sistemul public de pensii și alte drepturi de asigurări sociale care se regăsesc în una dintre situațiile menționate în Legea nr. 263/2010;</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Accize;</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TVA;</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Impozite datorate bugetului de stat:</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țițeiul și gazele naturale din producția internă;</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nerezidenților;</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salarii (OP separat pentru Sediu Social și fiecare sediu secundar, dacă este cazul);</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activități independente, cu regim de reținere la sursă;</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dividende plătite în luna precedentă;</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dobânzi;</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alte venituri din investiții;</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pensii;</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premii și din jocuri de noroc;</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alte surse.</w:t>
      </w:r>
    </w:p>
    <w:p w:rsidR="00D77AAD" w:rsidRPr="00EE5F41" w:rsidRDefault="004C78B0" w:rsidP="002F4233">
      <w:pPr>
        <w:pStyle w:val="Heading2"/>
        <w:spacing w:before="375" w:beforeAutospacing="0" w:after="188" w:afterAutospacing="0"/>
        <w:rPr>
          <w:rFonts w:asciiTheme="minorHAnsi" w:hAnsiTheme="minorHAnsi" w:cstheme="minorHAnsi"/>
          <w:bCs w:val="0"/>
          <w:color w:val="515151"/>
          <w:sz w:val="22"/>
          <w:szCs w:val="22"/>
        </w:rPr>
      </w:pPr>
      <w:r w:rsidRPr="00EE5F41">
        <w:rPr>
          <w:rFonts w:asciiTheme="minorHAnsi" w:hAnsiTheme="minorHAnsi" w:cstheme="minorHAnsi"/>
          <w:bCs w:val="0"/>
          <w:color w:val="515151"/>
          <w:sz w:val="22"/>
          <w:szCs w:val="22"/>
        </w:rPr>
        <w:t xml:space="preserve">30 </w:t>
      </w:r>
      <w:r w:rsidR="00F51234">
        <w:rPr>
          <w:rFonts w:asciiTheme="minorHAnsi" w:hAnsiTheme="minorHAnsi" w:cstheme="minorHAnsi"/>
          <w:bCs w:val="0"/>
          <w:color w:val="515151"/>
          <w:sz w:val="22"/>
          <w:szCs w:val="22"/>
        </w:rPr>
        <w:t>aprilie</w:t>
      </w:r>
      <w:r w:rsidRPr="00EE5F41">
        <w:rPr>
          <w:rFonts w:asciiTheme="minorHAnsi" w:hAnsiTheme="minorHAnsi" w:cstheme="minorHAnsi"/>
          <w:bCs w:val="0"/>
          <w:color w:val="515151"/>
          <w:sz w:val="22"/>
          <w:szCs w:val="22"/>
        </w:rPr>
        <w:t>, termen pentru formularul 394</w:t>
      </w:r>
    </w:p>
    <w:p w:rsidR="00F51234" w:rsidRDefault="00EE5F41" w:rsidP="004C78B0">
      <w:pPr>
        <w:spacing w:before="390" w:after="390" w:line="240" w:lineRule="auto"/>
        <w:rPr>
          <w:rFonts w:cstheme="minorHAnsi"/>
          <w:color w:val="515151"/>
          <w:shd w:val="clear" w:color="auto" w:fill="FFFFFF"/>
        </w:rPr>
      </w:pPr>
      <w:r w:rsidRPr="00EE5F41">
        <w:rPr>
          <w:rFonts w:cstheme="minorHAnsi"/>
          <w:color w:val="515151"/>
          <w:shd w:val="clear" w:color="auto" w:fill="FFFFFF"/>
        </w:rPr>
        <w:t>"Declaraţia informativă privind livrările/prestările și achizițiile efectuate pe teritoriul național aferente perioadei de raportare precedente" - </w:t>
      </w:r>
      <w:r w:rsidRPr="00EE5F41">
        <w:rPr>
          <w:rStyle w:val="Strong"/>
          <w:rFonts w:cstheme="minorHAnsi"/>
          <w:color w:val="515151"/>
          <w:shd w:val="clear" w:color="auto" w:fill="FFFFFF"/>
        </w:rPr>
        <w:t>formularul 394</w:t>
      </w:r>
      <w:r w:rsidRPr="00EE5F41">
        <w:rPr>
          <w:rFonts w:cstheme="minorHAnsi"/>
          <w:color w:val="515151"/>
          <w:shd w:val="clear" w:color="auto" w:fill="FFFFFF"/>
        </w:rPr>
        <w:t>, aferentă lunii </w:t>
      </w:r>
      <w:r w:rsidR="00F51234">
        <w:rPr>
          <w:rStyle w:val="Strong"/>
          <w:rFonts w:cstheme="minorHAnsi"/>
          <w:color w:val="515151"/>
          <w:shd w:val="clear" w:color="auto" w:fill="FFFFFF"/>
        </w:rPr>
        <w:t>martie 2018</w:t>
      </w:r>
      <w:r w:rsidRPr="00EE5F41">
        <w:rPr>
          <w:rFonts w:cstheme="minorHAnsi"/>
          <w:color w:val="515151"/>
          <w:shd w:val="clear" w:color="auto" w:fill="FFFFFF"/>
        </w:rPr>
        <w:t xml:space="preserve">, trebuie depusă la organele fiscale competente până cel târziu pe 30 </w:t>
      </w:r>
      <w:r w:rsidR="00F51234">
        <w:rPr>
          <w:rFonts w:cstheme="minorHAnsi"/>
          <w:color w:val="515151"/>
          <w:shd w:val="clear" w:color="auto" w:fill="FFFFFF"/>
        </w:rPr>
        <w:t>aprilie.</w:t>
      </w:r>
    </w:p>
    <w:p w:rsidR="004C78B0" w:rsidRPr="004C78B0" w:rsidRDefault="004C78B0" w:rsidP="004C78B0">
      <w:pPr>
        <w:spacing w:before="390" w:after="390" w:line="240" w:lineRule="auto"/>
        <w:rPr>
          <w:rFonts w:eastAsia="Times New Roman" w:cstheme="minorHAnsi"/>
          <w:color w:val="515151"/>
        </w:rPr>
      </w:pPr>
      <w:r w:rsidRPr="004C78B0">
        <w:rPr>
          <w:rFonts w:eastAsia="Times New Roman" w:cstheme="minorHAnsi"/>
          <w:color w:val="515151"/>
        </w:rPr>
        <w:t xml:space="preserve">În noul format al formularului 394 trebuie cuprinse toate operaţiunile de livrări sau achiziţii de bunuri efectuate către, dar şi de la contribuabili, fie ei plătitori sau neplătitori de TVA (persoane fizice şi persoane juridice). Documentul trebuie transmis chiar dacă în luna </w:t>
      </w:r>
      <w:r w:rsidR="00875CFE">
        <w:rPr>
          <w:rFonts w:eastAsia="Times New Roman" w:cstheme="minorHAnsi"/>
          <w:color w:val="515151"/>
        </w:rPr>
        <w:t>precedentă</w:t>
      </w:r>
      <w:r w:rsidRPr="004C78B0">
        <w:rPr>
          <w:rFonts w:eastAsia="Times New Roman" w:cstheme="minorHAnsi"/>
          <w:color w:val="515151"/>
        </w:rPr>
        <w:t xml:space="preserve"> nu au fost realizate operaţiuni de natura celor care fac obiectul declaraţiei. Obligaţia transmiterii formularului revine:</w:t>
      </w:r>
    </w:p>
    <w:p w:rsidR="004C78B0" w:rsidRPr="004C78B0" w:rsidRDefault="004C78B0" w:rsidP="004C78B0">
      <w:pPr>
        <w:numPr>
          <w:ilvl w:val="0"/>
          <w:numId w:val="8"/>
        </w:numPr>
        <w:spacing w:before="100" w:beforeAutospacing="1" w:after="100" w:afterAutospacing="1" w:line="240" w:lineRule="auto"/>
        <w:ind w:left="0"/>
        <w:rPr>
          <w:rFonts w:eastAsia="Times New Roman" w:cstheme="minorHAnsi"/>
          <w:color w:val="515151"/>
        </w:rPr>
      </w:pPr>
      <w:r w:rsidRPr="004C78B0">
        <w:rPr>
          <w:rFonts w:eastAsia="Times New Roman" w:cstheme="minorHAnsi"/>
          <w:color w:val="515151"/>
        </w:rPr>
        <w:t>persoanelor impozabile înregistrate în scopuri de TVA în România, conform art. 316 din Codul fiscal, obligate la plata taxei conform art. 307 alin. (1), (2), (6) și (7) din Codul fiscal, pentru operațiuni impozabile în România conform art. 268 alin.(1) din Codul fiscal;</w:t>
      </w:r>
    </w:p>
    <w:p w:rsidR="00D77AAD" w:rsidRDefault="004C78B0" w:rsidP="004C78B0">
      <w:pPr>
        <w:numPr>
          <w:ilvl w:val="0"/>
          <w:numId w:val="8"/>
        </w:numPr>
        <w:spacing w:before="100" w:beforeAutospacing="1" w:after="100" w:afterAutospacing="1" w:line="240" w:lineRule="auto"/>
        <w:ind w:left="0"/>
        <w:rPr>
          <w:rFonts w:eastAsia="Times New Roman" w:cstheme="minorHAnsi"/>
          <w:color w:val="515151"/>
        </w:rPr>
      </w:pPr>
      <w:r w:rsidRPr="004C78B0">
        <w:rPr>
          <w:rFonts w:eastAsia="Times New Roman" w:cstheme="minorHAnsi"/>
          <w:color w:val="515151"/>
        </w:rPr>
        <w:t>persoanelor impozabile înregistrate în scopuri de TVA în România, conform art. 316 din Codul fiscal, care realizează în România, de la</w:t>
      </w:r>
      <w:bookmarkStart w:id="0" w:name="_GoBack"/>
      <w:bookmarkEnd w:id="0"/>
      <w:r w:rsidRPr="004C78B0">
        <w:rPr>
          <w:rFonts w:eastAsia="Times New Roman" w:cstheme="minorHAnsi"/>
          <w:color w:val="515151"/>
        </w:rPr>
        <w:t xml:space="preserve"> persoanele impozabile înregistrate în scopuri de TVA în România, achiziții</w:t>
      </w:r>
      <w:r w:rsidRPr="00EE5F41">
        <w:rPr>
          <w:rFonts w:eastAsia="Times New Roman" w:cstheme="minorHAnsi"/>
          <w:color w:val="515151"/>
        </w:rPr>
        <w:t xml:space="preserve"> de bunuri sau servicii taxabile.</w:t>
      </w:r>
    </w:p>
    <w:p w:rsidR="00AF4998" w:rsidRPr="00AF4998" w:rsidRDefault="00AF4998" w:rsidP="00AF4998">
      <w:pPr>
        <w:spacing w:before="100" w:beforeAutospacing="1" w:after="100" w:afterAutospacing="1" w:line="240" w:lineRule="auto"/>
        <w:rPr>
          <w:rFonts w:eastAsia="Times New Roman" w:cstheme="minorHAnsi"/>
          <w:b/>
          <w:color w:val="515151"/>
        </w:rPr>
      </w:pPr>
      <w:r w:rsidRPr="00AF4998">
        <w:rPr>
          <w:rFonts w:eastAsia="Times New Roman" w:cstheme="minorHAnsi"/>
          <w:b/>
          <w:color w:val="515151"/>
        </w:rPr>
        <w:t>Nu în ultimul rând, 30 aprilie va fi termenul-limită pentru:</w:t>
      </w:r>
    </w:p>
    <w:p w:rsidR="00AF4998" w:rsidRPr="00AF4998" w:rsidRDefault="00AF4998" w:rsidP="00AF4998">
      <w:pPr>
        <w:spacing w:before="100" w:beforeAutospacing="1" w:after="100" w:afterAutospacing="1" w:line="240" w:lineRule="auto"/>
        <w:rPr>
          <w:rFonts w:eastAsia="Times New Roman" w:cstheme="minorHAnsi"/>
          <w:color w:val="515151"/>
        </w:rPr>
      </w:pPr>
      <w:r w:rsidRPr="00AF4998">
        <w:rPr>
          <w:rFonts w:eastAsia="Times New Roman" w:cstheme="minorHAnsi"/>
          <w:b/>
          <w:color w:val="515151"/>
        </w:rPr>
        <w:t>Depunerea Decontului privind accizele pentru anul precedent, Formularul 120</w:t>
      </w:r>
      <w:r w:rsidRPr="00AF4998">
        <w:rPr>
          <w:rFonts w:eastAsia="Times New Roman" w:cstheme="minorHAnsi"/>
          <w:color w:val="515151"/>
        </w:rPr>
        <w:t>, de către operatorii economici plătitori de accize;</w:t>
      </w:r>
    </w:p>
    <w:p w:rsidR="00AF4998" w:rsidRPr="00EE5F41" w:rsidRDefault="00AF4998" w:rsidP="00AF4998">
      <w:pPr>
        <w:spacing w:before="100" w:beforeAutospacing="1" w:after="100" w:afterAutospacing="1" w:line="240" w:lineRule="auto"/>
        <w:rPr>
          <w:rFonts w:eastAsia="Times New Roman" w:cstheme="minorHAnsi"/>
          <w:color w:val="515151"/>
        </w:rPr>
      </w:pPr>
      <w:r w:rsidRPr="00AF4998">
        <w:rPr>
          <w:rFonts w:eastAsia="Times New Roman" w:cstheme="minorHAnsi"/>
          <w:b/>
          <w:color w:val="515151"/>
        </w:rPr>
        <w:t>Depunerea Cererii de restituire a accizelor în baza prevederilor art.395 din Codul fiscal</w:t>
      </w:r>
      <w:r w:rsidRPr="00AF4998">
        <w:rPr>
          <w:rFonts w:eastAsia="Times New Roman" w:cstheme="minorHAnsi"/>
          <w:color w:val="515151"/>
        </w:rPr>
        <w:t>, de către beneficiarii scutirilor de accize (instituții, organizații).</w:t>
      </w:r>
    </w:p>
    <w:sectPr w:rsidR="00AF4998" w:rsidRPr="00EE5F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7F6" w:rsidRDefault="001557F6" w:rsidP="00F51234">
      <w:pPr>
        <w:spacing w:after="0" w:line="240" w:lineRule="auto"/>
      </w:pPr>
      <w:r>
        <w:separator/>
      </w:r>
    </w:p>
  </w:endnote>
  <w:endnote w:type="continuationSeparator" w:id="0">
    <w:p w:rsidR="001557F6" w:rsidRDefault="001557F6" w:rsidP="00F5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7F6" w:rsidRDefault="001557F6" w:rsidP="00F51234">
      <w:pPr>
        <w:spacing w:after="0" w:line="240" w:lineRule="auto"/>
      </w:pPr>
      <w:r>
        <w:separator/>
      </w:r>
    </w:p>
  </w:footnote>
  <w:footnote w:type="continuationSeparator" w:id="0">
    <w:p w:rsidR="001557F6" w:rsidRDefault="001557F6" w:rsidP="00F51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62A"/>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337C"/>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25258"/>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C06EF"/>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143E0"/>
    <w:multiLevelType w:val="multilevel"/>
    <w:tmpl w:val="528E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D5364"/>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D0138B"/>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71332C"/>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7F"/>
    <w:rsid w:val="001557F6"/>
    <w:rsid w:val="00234C20"/>
    <w:rsid w:val="002F4233"/>
    <w:rsid w:val="00326DAE"/>
    <w:rsid w:val="004C78B0"/>
    <w:rsid w:val="005F2B7F"/>
    <w:rsid w:val="007F30D7"/>
    <w:rsid w:val="00875CFE"/>
    <w:rsid w:val="008D361E"/>
    <w:rsid w:val="0099143B"/>
    <w:rsid w:val="009918D6"/>
    <w:rsid w:val="00A0242A"/>
    <w:rsid w:val="00AF4998"/>
    <w:rsid w:val="00CA303F"/>
    <w:rsid w:val="00CB7A7F"/>
    <w:rsid w:val="00D77AAD"/>
    <w:rsid w:val="00E91562"/>
    <w:rsid w:val="00EE5F41"/>
    <w:rsid w:val="00F5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BA44"/>
  <w15:chartTrackingRefBased/>
  <w15:docId w15:val="{A2A2BE97-954D-4934-933F-4A1C05D3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77A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A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7AAD"/>
    <w:rPr>
      <w:b/>
      <w:bCs/>
    </w:rPr>
  </w:style>
  <w:style w:type="paragraph" w:styleId="ListParagraph">
    <w:name w:val="List Paragraph"/>
    <w:basedOn w:val="Normal"/>
    <w:uiPriority w:val="34"/>
    <w:qFormat/>
    <w:rsid w:val="00D77AAD"/>
    <w:pPr>
      <w:ind w:left="720"/>
      <w:contextualSpacing/>
    </w:pPr>
  </w:style>
  <w:style w:type="character" w:customStyle="1" w:styleId="Heading2Char">
    <w:name w:val="Heading 2 Char"/>
    <w:basedOn w:val="DefaultParagraphFont"/>
    <w:link w:val="Heading2"/>
    <w:uiPriority w:val="9"/>
    <w:rsid w:val="00D77AA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7AAD"/>
    <w:rPr>
      <w:color w:val="0000FF"/>
      <w:u w:val="single"/>
    </w:rPr>
  </w:style>
  <w:style w:type="paragraph" w:styleId="Header">
    <w:name w:val="header"/>
    <w:basedOn w:val="Normal"/>
    <w:link w:val="HeaderChar"/>
    <w:uiPriority w:val="99"/>
    <w:unhideWhenUsed/>
    <w:rsid w:val="00F51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234"/>
  </w:style>
  <w:style w:type="paragraph" w:styleId="Footer">
    <w:name w:val="footer"/>
    <w:basedOn w:val="Normal"/>
    <w:link w:val="FooterChar"/>
    <w:uiPriority w:val="99"/>
    <w:unhideWhenUsed/>
    <w:rsid w:val="00F51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93850">
      <w:bodyDiv w:val="1"/>
      <w:marLeft w:val="0"/>
      <w:marRight w:val="0"/>
      <w:marTop w:val="0"/>
      <w:marBottom w:val="0"/>
      <w:divBdr>
        <w:top w:val="none" w:sz="0" w:space="0" w:color="auto"/>
        <w:left w:val="none" w:sz="0" w:space="0" w:color="auto"/>
        <w:bottom w:val="none" w:sz="0" w:space="0" w:color="auto"/>
        <w:right w:val="none" w:sz="0" w:space="0" w:color="auto"/>
      </w:divBdr>
    </w:div>
    <w:div w:id="1020669969">
      <w:bodyDiv w:val="1"/>
      <w:marLeft w:val="0"/>
      <w:marRight w:val="0"/>
      <w:marTop w:val="0"/>
      <w:marBottom w:val="0"/>
      <w:divBdr>
        <w:top w:val="none" w:sz="0" w:space="0" w:color="auto"/>
        <w:left w:val="none" w:sz="0" w:space="0" w:color="auto"/>
        <w:bottom w:val="none" w:sz="0" w:space="0" w:color="auto"/>
        <w:right w:val="none" w:sz="0" w:space="0" w:color="auto"/>
      </w:divBdr>
    </w:div>
    <w:div w:id="1189561332">
      <w:bodyDiv w:val="1"/>
      <w:marLeft w:val="0"/>
      <w:marRight w:val="0"/>
      <w:marTop w:val="0"/>
      <w:marBottom w:val="0"/>
      <w:divBdr>
        <w:top w:val="none" w:sz="0" w:space="0" w:color="auto"/>
        <w:left w:val="none" w:sz="0" w:space="0" w:color="auto"/>
        <w:bottom w:val="none" w:sz="0" w:space="0" w:color="auto"/>
        <w:right w:val="none" w:sz="0" w:space="0" w:color="auto"/>
      </w:divBdr>
    </w:div>
    <w:div w:id="1268004057">
      <w:bodyDiv w:val="1"/>
      <w:marLeft w:val="0"/>
      <w:marRight w:val="0"/>
      <w:marTop w:val="0"/>
      <w:marBottom w:val="0"/>
      <w:divBdr>
        <w:top w:val="none" w:sz="0" w:space="0" w:color="auto"/>
        <w:left w:val="none" w:sz="0" w:space="0" w:color="auto"/>
        <w:bottom w:val="none" w:sz="0" w:space="0" w:color="auto"/>
        <w:right w:val="none" w:sz="0" w:space="0" w:color="auto"/>
      </w:divBdr>
    </w:div>
    <w:div w:id="1392192607">
      <w:bodyDiv w:val="1"/>
      <w:marLeft w:val="0"/>
      <w:marRight w:val="0"/>
      <w:marTop w:val="0"/>
      <w:marBottom w:val="0"/>
      <w:divBdr>
        <w:top w:val="none" w:sz="0" w:space="0" w:color="auto"/>
        <w:left w:val="none" w:sz="0" w:space="0" w:color="auto"/>
        <w:bottom w:val="none" w:sz="0" w:space="0" w:color="auto"/>
        <w:right w:val="none" w:sz="0" w:space="0" w:color="auto"/>
      </w:divBdr>
    </w:div>
    <w:div w:id="1427580963">
      <w:bodyDiv w:val="1"/>
      <w:marLeft w:val="0"/>
      <w:marRight w:val="0"/>
      <w:marTop w:val="0"/>
      <w:marBottom w:val="0"/>
      <w:divBdr>
        <w:top w:val="none" w:sz="0" w:space="0" w:color="auto"/>
        <w:left w:val="none" w:sz="0" w:space="0" w:color="auto"/>
        <w:bottom w:val="none" w:sz="0" w:space="0" w:color="auto"/>
        <w:right w:val="none" w:sz="0" w:space="0" w:color="auto"/>
      </w:divBdr>
    </w:div>
    <w:div w:id="1628009554">
      <w:bodyDiv w:val="1"/>
      <w:marLeft w:val="0"/>
      <w:marRight w:val="0"/>
      <w:marTop w:val="0"/>
      <w:marBottom w:val="0"/>
      <w:divBdr>
        <w:top w:val="none" w:sz="0" w:space="0" w:color="auto"/>
        <w:left w:val="none" w:sz="0" w:space="0" w:color="auto"/>
        <w:bottom w:val="none" w:sz="0" w:space="0" w:color="auto"/>
        <w:right w:val="none" w:sz="0" w:space="0" w:color="auto"/>
      </w:divBdr>
    </w:div>
    <w:div w:id="1792936643">
      <w:bodyDiv w:val="1"/>
      <w:marLeft w:val="0"/>
      <w:marRight w:val="0"/>
      <w:marTop w:val="0"/>
      <w:marBottom w:val="0"/>
      <w:divBdr>
        <w:top w:val="none" w:sz="0" w:space="0" w:color="auto"/>
        <w:left w:val="none" w:sz="0" w:space="0" w:color="auto"/>
        <w:bottom w:val="none" w:sz="0" w:space="0" w:color="auto"/>
        <w:right w:val="none" w:sz="0" w:space="0" w:color="auto"/>
      </w:divBdr>
    </w:div>
    <w:div w:id="1808891245">
      <w:bodyDiv w:val="1"/>
      <w:marLeft w:val="0"/>
      <w:marRight w:val="0"/>
      <w:marTop w:val="0"/>
      <w:marBottom w:val="0"/>
      <w:divBdr>
        <w:top w:val="none" w:sz="0" w:space="0" w:color="auto"/>
        <w:left w:val="none" w:sz="0" w:space="0" w:color="auto"/>
        <w:bottom w:val="none" w:sz="0" w:space="0" w:color="auto"/>
        <w:right w:val="none" w:sz="0" w:space="0" w:color="auto"/>
      </w:divBdr>
    </w:div>
    <w:div w:id="1826358925">
      <w:bodyDiv w:val="1"/>
      <w:marLeft w:val="0"/>
      <w:marRight w:val="0"/>
      <w:marTop w:val="0"/>
      <w:marBottom w:val="0"/>
      <w:divBdr>
        <w:top w:val="none" w:sz="0" w:space="0" w:color="auto"/>
        <w:left w:val="none" w:sz="0" w:space="0" w:color="auto"/>
        <w:bottom w:val="none" w:sz="0" w:space="0" w:color="auto"/>
        <w:right w:val="none" w:sz="0" w:space="0" w:color="auto"/>
      </w:divBdr>
    </w:div>
    <w:div w:id="1829638025">
      <w:bodyDiv w:val="1"/>
      <w:marLeft w:val="0"/>
      <w:marRight w:val="0"/>
      <w:marTop w:val="0"/>
      <w:marBottom w:val="0"/>
      <w:divBdr>
        <w:top w:val="none" w:sz="0" w:space="0" w:color="auto"/>
        <w:left w:val="none" w:sz="0" w:space="0" w:color="auto"/>
        <w:bottom w:val="none" w:sz="0" w:space="0" w:color="auto"/>
        <w:right w:val="none" w:sz="0" w:space="0" w:color="auto"/>
      </w:divBdr>
    </w:div>
    <w:div w:id="2007005446">
      <w:bodyDiv w:val="1"/>
      <w:marLeft w:val="0"/>
      <w:marRight w:val="0"/>
      <w:marTop w:val="0"/>
      <w:marBottom w:val="0"/>
      <w:divBdr>
        <w:top w:val="none" w:sz="0" w:space="0" w:color="auto"/>
        <w:left w:val="none" w:sz="0" w:space="0" w:color="auto"/>
        <w:bottom w:val="none" w:sz="0" w:space="0" w:color="auto"/>
        <w:right w:val="none" w:sz="0" w:space="0" w:color="auto"/>
      </w:divBdr>
    </w:div>
    <w:div w:id="2020616836">
      <w:bodyDiv w:val="1"/>
      <w:marLeft w:val="0"/>
      <w:marRight w:val="0"/>
      <w:marTop w:val="0"/>
      <w:marBottom w:val="0"/>
      <w:divBdr>
        <w:top w:val="none" w:sz="0" w:space="0" w:color="auto"/>
        <w:left w:val="none" w:sz="0" w:space="0" w:color="auto"/>
        <w:bottom w:val="none" w:sz="0" w:space="0" w:color="auto"/>
        <w:right w:val="none" w:sz="0" w:space="0" w:color="auto"/>
      </w:divBdr>
    </w:div>
    <w:div w:id="2061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f.ro/anaf/internet/ANAF/acasa/!ut/p/a1/hZBNb8IwDIZ_C4ceqUPRUOAWCqJDgxui5FKlxbSVQhKZbBP8elLQpB34sHzx4_eVP0BCDtKon7ZWvrVG6a6WoyIbZKMs4cmSi_mUiZSvNzwNYDEMgl0QsCch2Dv_8pVgMbsNSGiVrmqQTvmm35qDhXyPlS5QY-XJmrbCO4n_kUGHTpWikFh0XdiCfDftLnhxTti31ra8vWYnTDnkYTHCAxJS_E0BN967ScQiprHGj5hsxIRzEUuVRrNX9MjY2JOH_M8A7phfvqbjz74sz7-i17sCsWKIHQ!!/dl5/d5/L2dBISEvZ0FBIS9nQSEh/" TargetMode="External"/><Relationship Id="rId3" Type="http://schemas.openxmlformats.org/officeDocument/2006/relationships/settings" Target="settings.xml"/><Relationship Id="rId7" Type="http://schemas.openxmlformats.org/officeDocument/2006/relationships/hyperlink" Target="http://static.anaf.ro/static/10/Anaf/Declaratii_R/3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2018-04-02T13:54:00Z</dcterms:created>
  <dcterms:modified xsi:type="dcterms:W3CDTF">2018-04-02T14:05:00Z</dcterms:modified>
</cp:coreProperties>
</file>