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4F18" w14:textId="258CD07D" w:rsidR="000C73E0" w:rsidRPr="000F28B6" w:rsidRDefault="00285669" w:rsidP="00374EF6">
      <w:pPr>
        <w:pBdr>
          <w:top w:val="nil"/>
          <w:left w:val="nil"/>
          <w:bottom w:val="nil"/>
          <w:right w:val="nil"/>
          <w:between w:val="nil"/>
        </w:pBdr>
        <w:spacing w:after="0" w:line="360" w:lineRule="auto"/>
        <w:ind w:left="0"/>
        <w:jc w:val="center"/>
        <w:rPr>
          <w:rFonts w:ascii="Times New Roman" w:eastAsia="Times New Roman" w:hAnsi="Times New Roman"/>
          <w:b/>
          <w:color w:val="000000"/>
          <w:sz w:val="24"/>
          <w:szCs w:val="24"/>
          <w:lang w:eastAsia="en-GB"/>
        </w:rPr>
      </w:pPr>
      <w:r w:rsidRPr="000F28B6">
        <w:rPr>
          <w:rFonts w:ascii="Times New Roman" w:eastAsia="Times New Roman" w:hAnsi="Times New Roman"/>
          <w:b/>
          <w:color w:val="000000"/>
          <w:sz w:val="24"/>
          <w:szCs w:val="24"/>
          <w:lang w:eastAsia="en-GB"/>
        </w:rPr>
        <w:t>GUVERNUL ROMÂNIEI</w:t>
      </w:r>
    </w:p>
    <w:p w14:paraId="00D330A4" w14:textId="77777777" w:rsidR="00285669" w:rsidRPr="000F28B6" w:rsidRDefault="00285669" w:rsidP="00374EF6">
      <w:pPr>
        <w:pBdr>
          <w:top w:val="nil"/>
          <w:left w:val="nil"/>
          <w:bottom w:val="nil"/>
          <w:right w:val="nil"/>
          <w:between w:val="nil"/>
        </w:pBdr>
        <w:spacing w:after="0" w:line="360" w:lineRule="auto"/>
        <w:ind w:left="0"/>
        <w:jc w:val="center"/>
        <w:rPr>
          <w:rFonts w:ascii="Times New Roman" w:eastAsia="Times New Roman" w:hAnsi="Times New Roman"/>
          <w:color w:val="000000"/>
          <w:sz w:val="24"/>
          <w:szCs w:val="24"/>
          <w:lang w:eastAsia="en-GB"/>
        </w:rPr>
      </w:pPr>
    </w:p>
    <w:p w14:paraId="02B42244" w14:textId="74A08589" w:rsidR="000C73E0" w:rsidRPr="000F28B6" w:rsidRDefault="00285669" w:rsidP="00374EF6">
      <w:pPr>
        <w:pBdr>
          <w:top w:val="nil"/>
          <w:left w:val="nil"/>
          <w:bottom w:val="nil"/>
          <w:right w:val="nil"/>
          <w:between w:val="nil"/>
        </w:pBdr>
        <w:spacing w:after="0" w:line="360" w:lineRule="auto"/>
        <w:ind w:left="0"/>
        <w:jc w:val="center"/>
        <w:rPr>
          <w:rFonts w:ascii="Times New Roman" w:eastAsia="Times New Roman" w:hAnsi="Times New Roman"/>
          <w:color w:val="000000"/>
          <w:sz w:val="24"/>
          <w:szCs w:val="24"/>
          <w:lang w:eastAsia="en-GB"/>
        </w:rPr>
      </w:pPr>
      <w:r w:rsidRPr="000F28B6">
        <w:rPr>
          <w:rFonts w:ascii="Times New Roman" w:eastAsia="Times New Roman" w:hAnsi="Times New Roman"/>
          <w:noProof/>
          <w:color w:val="000000"/>
          <w:sz w:val="24"/>
          <w:szCs w:val="24"/>
          <w:lang w:eastAsia="ro-RO"/>
        </w:rPr>
        <w:drawing>
          <wp:inline distT="0" distB="0" distL="0" distR="0" wp14:anchorId="4D2FC7AA" wp14:editId="3D0B9801">
            <wp:extent cx="6191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pic:spPr>
                </pic:pic>
              </a:graphicData>
            </a:graphic>
          </wp:inline>
        </w:drawing>
      </w:r>
    </w:p>
    <w:p w14:paraId="5A0887F0" w14:textId="77777777" w:rsidR="00285669" w:rsidRPr="000F28B6" w:rsidRDefault="00285669" w:rsidP="00374EF6">
      <w:pPr>
        <w:pBdr>
          <w:top w:val="nil"/>
          <w:left w:val="nil"/>
          <w:bottom w:val="nil"/>
          <w:right w:val="nil"/>
          <w:between w:val="nil"/>
        </w:pBdr>
        <w:spacing w:after="0" w:line="360" w:lineRule="auto"/>
        <w:ind w:left="0"/>
        <w:jc w:val="center"/>
        <w:rPr>
          <w:rFonts w:ascii="Times New Roman" w:eastAsia="Times New Roman" w:hAnsi="Times New Roman"/>
          <w:b/>
          <w:color w:val="000000"/>
          <w:sz w:val="24"/>
          <w:szCs w:val="24"/>
          <w:lang w:eastAsia="en-GB"/>
        </w:rPr>
      </w:pPr>
    </w:p>
    <w:p w14:paraId="732C47AF" w14:textId="14892511" w:rsidR="00285669" w:rsidRPr="000F28B6" w:rsidRDefault="00285669" w:rsidP="00374EF6">
      <w:pPr>
        <w:pBdr>
          <w:top w:val="nil"/>
          <w:left w:val="nil"/>
          <w:bottom w:val="nil"/>
          <w:right w:val="nil"/>
          <w:between w:val="nil"/>
        </w:pBdr>
        <w:spacing w:after="0" w:line="360" w:lineRule="auto"/>
        <w:ind w:left="0"/>
        <w:jc w:val="center"/>
        <w:rPr>
          <w:rFonts w:ascii="Times New Roman" w:eastAsia="Times New Roman" w:hAnsi="Times New Roman"/>
          <w:b/>
          <w:color w:val="000000"/>
          <w:sz w:val="24"/>
          <w:szCs w:val="24"/>
          <w:lang w:eastAsia="en-GB"/>
        </w:rPr>
      </w:pPr>
      <w:r w:rsidRPr="000F28B6">
        <w:rPr>
          <w:rFonts w:ascii="Times New Roman" w:eastAsia="Times New Roman" w:hAnsi="Times New Roman"/>
          <w:b/>
          <w:color w:val="000000"/>
          <w:sz w:val="24"/>
          <w:szCs w:val="24"/>
          <w:lang w:eastAsia="en-GB"/>
        </w:rPr>
        <w:t>ORDONANȚ</w:t>
      </w:r>
      <w:r w:rsidR="00856BE7" w:rsidRPr="000F28B6">
        <w:rPr>
          <w:rFonts w:ascii="Times New Roman" w:eastAsia="Times New Roman" w:hAnsi="Times New Roman"/>
          <w:b/>
          <w:color w:val="000000"/>
          <w:sz w:val="24"/>
          <w:szCs w:val="24"/>
          <w:lang w:eastAsia="en-GB"/>
        </w:rPr>
        <w:t>Ă DE URGENȚĂ</w:t>
      </w:r>
    </w:p>
    <w:p w14:paraId="351DCACC" w14:textId="0227C750" w:rsidR="000C73E0" w:rsidRPr="000F28B6" w:rsidRDefault="000C73E0" w:rsidP="00374EF6">
      <w:pPr>
        <w:pBdr>
          <w:top w:val="nil"/>
          <w:left w:val="nil"/>
          <w:bottom w:val="nil"/>
          <w:right w:val="nil"/>
          <w:between w:val="nil"/>
        </w:pBdr>
        <w:spacing w:after="0" w:line="360" w:lineRule="auto"/>
        <w:ind w:left="0"/>
        <w:jc w:val="center"/>
        <w:rPr>
          <w:rFonts w:ascii="Times New Roman" w:eastAsia="Times New Roman" w:hAnsi="Times New Roman"/>
          <w:b/>
          <w:color w:val="000000"/>
          <w:sz w:val="24"/>
          <w:szCs w:val="24"/>
          <w:lang w:eastAsia="en-GB"/>
        </w:rPr>
      </w:pPr>
      <w:r w:rsidRPr="000F28B6">
        <w:rPr>
          <w:rFonts w:ascii="Times New Roman" w:eastAsia="Times New Roman" w:hAnsi="Times New Roman"/>
          <w:b/>
          <w:color w:val="000000"/>
          <w:sz w:val="24"/>
          <w:szCs w:val="24"/>
          <w:lang w:eastAsia="en-GB"/>
        </w:rPr>
        <w:t>privind unele măsuri de eficientizare a</w:t>
      </w:r>
      <w:r w:rsidR="00FD306E" w:rsidRPr="000F28B6">
        <w:rPr>
          <w:rFonts w:ascii="Times New Roman" w:eastAsia="Times New Roman" w:hAnsi="Times New Roman"/>
          <w:b/>
          <w:color w:val="000000"/>
          <w:sz w:val="24"/>
          <w:szCs w:val="24"/>
          <w:lang w:eastAsia="en-GB"/>
        </w:rPr>
        <w:t xml:space="preserve"> gestionării</w:t>
      </w:r>
      <w:r w:rsidRPr="000F28B6">
        <w:rPr>
          <w:rFonts w:ascii="Times New Roman" w:eastAsia="Times New Roman" w:hAnsi="Times New Roman"/>
          <w:b/>
          <w:color w:val="000000"/>
          <w:sz w:val="24"/>
          <w:szCs w:val="24"/>
          <w:lang w:eastAsia="en-GB"/>
        </w:rPr>
        <w:t xml:space="preserve"> deșeurilor, precum și pentru modificarea și completarea unor acte normative</w:t>
      </w:r>
    </w:p>
    <w:p w14:paraId="5D0D5909" w14:textId="77777777" w:rsidR="00153481" w:rsidRPr="000F28B6" w:rsidRDefault="00153481" w:rsidP="0062421E">
      <w:pPr>
        <w:pBdr>
          <w:top w:val="nil"/>
          <w:left w:val="nil"/>
          <w:bottom w:val="nil"/>
          <w:right w:val="nil"/>
          <w:between w:val="nil"/>
        </w:pBdr>
        <w:spacing w:after="0" w:line="360" w:lineRule="auto"/>
        <w:ind w:left="0"/>
        <w:rPr>
          <w:rFonts w:ascii="Times New Roman" w:eastAsia="Times New Roman" w:hAnsi="Times New Roman"/>
          <w:b/>
          <w:color w:val="000000"/>
          <w:sz w:val="24"/>
          <w:szCs w:val="24"/>
          <w:lang w:eastAsia="en-GB"/>
        </w:rPr>
      </w:pPr>
    </w:p>
    <w:p w14:paraId="550B3A55" w14:textId="6DFFC7B1" w:rsidR="005F56CE" w:rsidRDefault="005F56CE" w:rsidP="00876C44">
      <w:pPr>
        <w:pStyle w:val="BodyText"/>
        <w:spacing w:after="120" w:line="360" w:lineRule="auto"/>
        <w:rPr>
          <w:rFonts w:ascii="Times New Roman" w:hAnsi="Times New Roman"/>
          <w:color w:val="auto"/>
          <w:szCs w:val="24"/>
        </w:rPr>
      </w:pPr>
      <w:r>
        <w:rPr>
          <w:rFonts w:ascii="Times New Roman" w:hAnsi="Times New Roman"/>
          <w:color w:val="auto"/>
          <w:szCs w:val="24"/>
        </w:rPr>
        <w:t>P</w:t>
      </w:r>
      <w:r w:rsidR="00876C44" w:rsidRPr="000F28B6">
        <w:rPr>
          <w:rFonts w:ascii="Times New Roman" w:hAnsi="Times New Roman"/>
          <w:color w:val="auto"/>
          <w:szCs w:val="24"/>
        </w:rPr>
        <w:t xml:space="preserve">rin Hotărârea Curții de Justiție a Uniunii Europene pronunțată în data de 18.10.2018, s-a constatat că România nu și-a îndeplinit obligațiile care îi revin în </w:t>
      </w:r>
      <w:r w:rsidR="00876C44" w:rsidRPr="005F56CE">
        <w:rPr>
          <w:rFonts w:ascii="Times New Roman" w:hAnsi="Times New Roman"/>
          <w:color w:val="auto"/>
          <w:szCs w:val="24"/>
        </w:rPr>
        <w:t xml:space="preserve">temeiul art. 14 lit. (b) </w:t>
      </w:r>
      <w:r w:rsidR="00876C44" w:rsidRPr="000F28B6">
        <w:rPr>
          <w:rFonts w:ascii="Times New Roman" w:hAnsi="Times New Roman"/>
          <w:color w:val="auto"/>
          <w:szCs w:val="24"/>
        </w:rPr>
        <w:t>coroborat cu art. 13 din Directiva 1999/31</w:t>
      </w:r>
      <w:r>
        <w:rPr>
          <w:rFonts w:ascii="Times New Roman" w:hAnsi="Times New Roman"/>
          <w:color w:val="auto"/>
          <w:szCs w:val="24"/>
        </w:rPr>
        <w:t>/CE a Consiliului din 26 aprilie 1999 privind depozitele de deșeuri</w:t>
      </w:r>
      <w:r w:rsidR="00876C44" w:rsidRPr="000F28B6">
        <w:rPr>
          <w:rFonts w:ascii="Times New Roman" w:hAnsi="Times New Roman"/>
          <w:color w:val="auto"/>
          <w:szCs w:val="24"/>
        </w:rPr>
        <w:t>,</w:t>
      </w:r>
      <w:r>
        <w:rPr>
          <w:rFonts w:ascii="Times New Roman" w:hAnsi="Times New Roman"/>
          <w:color w:val="auto"/>
          <w:szCs w:val="24"/>
        </w:rPr>
        <w:t xml:space="preserve"> respectiv obligația </w:t>
      </w:r>
      <w:r w:rsidR="00876C44" w:rsidRPr="000F28B6">
        <w:rPr>
          <w:rFonts w:ascii="Times New Roman" w:hAnsi="Times New Roman"/>
          <w:color w:val="auto"/>
          <w:szCs w:val="24"/>
        </w:rPr>
        <w:t>de închidere a 68 de depozite de deșeuri neconforme (municipale, industriale periculoase/nepericuloase)</w:t>
      </w:r>
      <w:r>
        <w:rPr>
          <w:rFonts w:ascii="Times New Roman" w:hAnsi="Times New Roman"/>
          <w:color w:val="auto"/>
          <w:szCs w:val="24"/>
        </w:rPr>
        <w:t>,</w:t>
      </w:r>
    </w:p>
    <w:p w14:paraId="689EB9A3" w14:textId="03886EC1" w:rsidR="00876C44" w:rsidRPr="000F28B6" w:rsidRDefault="00876C44" w:rsidP="00876C44">
      <w:pPr>
        <w:pStyle w:val="BodyText"/>
        <w:spacing w:after="120" w:line="360" w:lineRule="auto"/>
        <w:rPr>
          <w:rFonts w:ascii="Times New Roman" w:hAnsi="Times New Roman"/>
          <w:color w:val="auto"/>
          <w:szCs w:val="24"/>
        </w:rPr>
      </w:pPr>
      <w:r w:rsidRPr="000F28B6">
        <w:rPr>
          <w:rFonts w:ascii="Times New Roman" w:hAnsi="Times New Roman"/>
          <w:color w:val="auto"/>
          <w:szCs w:val="24"/>
        </w:rPr>
        <w:t xml:space="preserve">În acest </w:t>
      </w:r>
      <w:r w:rsidR="003B4B90">
        <w:rPr>
          <w:rFonts w:ascii="Times New Roman" w:hAnsi="Times New Roman"/>
          <w:color w:val="auto"/>
          <w:szCs w:val="24"/>
        </w:rPr>
        <w:t>sens</w:t>
      </w:r>
      <w:r w:rsidRPr="000F28B6">
        <w:rPr>
          <w:rFonts w:ascii="Times New Roman" w:hAnsi="Times New Roman"/>
          <w:color w:val="auto"/>
          <w:szCs w:val="24"/>
        </w:rPr>
        <w:t xml:space="preserve">, </w:t>
      </w:r>
      <w:r w:rsidR="005F56CE">
        <w:rPr>
          <w:rFonts w:ascii="Times New Roman" w:hAnsi="Times New Roman"/>
          <w:color w:val="auto"/>
          <w:szCs w:val="24"/>
        </w:rPr>
        <w:t>p</w:t>
      </w:r>
      <w:r w:rsidRPr="000F28B6">
        <w:rPr>
          <w:rFonts w:ascii="Times New Roman" w:hAnsi="Times New Roman"/>
          <w:color w:val="auto"/>
          <w:szCs w:val="24"/>
        </w:rPr>
        <w:t xml:space="preserve">rin Legea nr. 144/2019 pentru modificarea şi completarea Legii nr. 255/2010 privind exproprierea pentru cauză de utilitate publică, necesară realizării unor obiective de interes naţional, judeţean şi local, </w:t>
      </w:r>
      <w:r w:rsidR="005F56CE">
        <w:rPr>
          <w:rFonts w:ascii="Times New Roman" w:hAnsi="Times New Roman"/>
          <w:color w:val="auto"/>
          <w:szCs w:val="24"/>
        </w:rPr>
        <w:t>republicată, cu modificările și completările ulterioare</w:t>
      </w:r>
      <w:r w:rsidRPr="000F28B6">
        <w:rPr>
          <w:rFonts w:ascii="Times New Roman" w:hAnsi="Times New Roman"/>
          <w:color w:val="auto"/>
          <w:szCs w:val="24"/>
        </w:rPr>
        <w:t xml:space="preserve">, </w:t>
      </w:r>
      <w:r w:rsidR="005F56CE" w:rsidRPr="000F28B6">
        <w:rPr>
          <w:rFonts w:ascii="Times New Roman" w:hAnsi="Times New Roman"/>
          <w:color w:val="auto"/>
          <w:szCs w:val="24"/>
        </w:rPr>
        <w:t>s</w:t>
      </w:r>
      <w:r w:rsidR="005F56CE">
        <w:rPr>
          <w:rFonts w:ascii="Times New Roman" w:hAnsi="Times New Roman"/>
          <w:color w:val="auto"/>
          <w:szCs w:val="24"/>
        </w:rPr>
        <w:t>-au</w:t>
      </w:r>
      <w:r w:rsidR="005F56CE" w:rsidRPr="000F28B6">
        <w:rPr>
          <w:rFonts w:ascii="Times New Roman" w:hAnsi="Times New Roman"/>
          <w:color w:val="auto"/>
          <w:szCs w:val="24"/>
        </w:rPr>
        <w:t xml:space="preserve"> </w:t>
      </w:r>
      <w:r w:rsidRPr="000F28B6">
        <w:rPr>
          <w:rFonts w:ascii="Times New Roman" w:hAnsi="Times New Roman"/>
          <w:color w:val="auto"/>
          <w:szCs w:val="24"/>
        </w:rPr>
        <w:t xml:space="preserve">declarat de utilitate publică inclusiv lucrările de închidere și ecologizare a depozitelor de deșeuri, efectuate de stat prin autoritățile publice centrale, ca urmare a stabilirii în sarcina acestuia </w:t>
      </w:r>
      <w:r w:rsidR="005F56CE">
        <w:rPr>
          <w:rFonts w:ascii="Times New Roman" w:hAnsi="Times New Roman"/>
          <w:color w:val="auto"/>
          <w:szCs w:val="24"/>
        </w:rPr>
        <w:t>a unor</w:t>
      </w:r>
      <w:r w:rsidR="005F56CE" w:rsidRPr="000F28B6">
        <w:rPr>
          <w:rFonts w:ascii="Times New Roman" w:hAnsi="Times New Roman"/>
          <w:color w:val="auto"/>
          <w:szCs w:val="24"/>
        </w:rPr>
        <w:t xml:space="preserve"> </w:t>
      </w:r>
      <w:r w:rsidRPr="000F28B6">
        <w:rPr>
          <w:rFonts w:ascii="Times New Roman" w:hAnsi="Times New Roman"/>
          <w:color w:val="auto"/>
          <w:szCs w:val="24"/>
        </w:rPr>
        <w:t>măsuri, în baza unor hotărâri ale Curții de Justiție a Uniunii Europene, iar expropriatorul pentru lucrările de închidere și ecologizare a depozitelor de deșeuri este Ministerul Mediului, Apelor și Pădurilor prin Administrația Fondului pentru Mediu</w:t>
      </w:r>
      <w:r w:rsidR="000F28B6">
        <w:rPr>
          <w:rFonts w:ascii="Times New Roman" w:hAnsi="Times New Roman"/>
          <w:color w:val="auto"/>
          <w:szCs w:val="24"/>
        </w:rPr>
        <w:t xml:space="preserve">, </w:t>
      </w:r>
    </w:p>
    <w:p w14:paraId="48D9E908" w14:textId="3844B29F" w:rsidR="00876C44" w:rsidRPr="000F28B6" w:rsidRDefault="005F56CE" w:rsidP="00876C44">
      <w:pPr>
        <w:pStyle w:val="BodyText"/>
        <w:spacing w:after="120" w:line="360" w:lineRule="auto"/>
        <w:rPr>
          <w:rFonts w:ascii="Times New Roman" w:hAnsi="Times New Roman"/>
          <w:color w:val="auto"/>
          <w:szCs w:val="24"/>
        </w:rPr>
      </w:pPr>
      <w:r>
        <w:rPr>
          <w:rFonts w:ascii="Times New Roman" w:hAnsi="Times New Roman"/>
          <w:color w:val="auto"/>
          <w:szCs w:val="24"/>
        </w:rPr>
        <w:t>Luând în considerare faptul că î</w:t>
      </w:r>
      <w:r w:rsidR="00876C44" w:rsidRPr="000F28B6">
        <w:rPr>
          <w:rFonts w:ascii="Times New Roman" w:hAnsi="Times New Roman"/>
          <w:color w:val="auto"/>
          <w:szCs w:val="24"/>
        </w:rPr>
        <w:t>n situația nerespectării de a lua măsuri pentru închiderea depozitelor de deșeuri neconforme, în contextul Hotărârii C</w:t>
      </w:r>
      <w:r>
        <w:rPr>
          <w:rFonts w:ascii="Times New Roman" w:hAnsi="Times New Roman"/>
          <w:color w:val="auto"/>
          <w:szCs w:val="24"/>
        </w:rPr>
        <w:t xml:space="preserve">urții de Justiție a </w:t>
      </w:r>
      <w:r w:rsidR="00876C44" w:rsidRPr="000F28B6">
        <w:rPr>
          <w:rFonts w:ascii="Times New Roman" w:hAnsi="Times New Roman"/>
          <w:color w:val="auto"/>
          <w:szCs w:val="24"/>
        </w:rPr>
        <w:t>U</w:t>
      </w:r>
      <w:r>
        <w:rPr>
          <w:rFonts w:ascii="Times New Roman" w:hAnsi="Times New Roman"/>
          <w:color w:val="auto"/>
          <w:szCs w:val="24"/>
        </w:rPr>
        <w:t xml:space="preserve">niunii </w:t>
      </w:r>
      <w:r w:rsidR="00876C44" w:rsidRPr="000F28B6">
        <w:rPr>
          <w:rFonts w:ascii="Times New Roman" w:hAnsi="Times New Roman"/>
          <w:color w:val="auto"/>
          <w:szCs w:val="24"/>
        </w:rPr>
        <w:t>E</w:t>
      </w:r>
      <w:r>
        <w:rPr>
          <w:rFonts w:ascii="Times New Roman" w:hAnsi="Times New Roman"/>
          <w:color w:val="auto"/>
          <w:szCs w:val="24"/>
        </w:rPr>
        <w:t>uropene</w:t>
      </w:r>
      <w:r w:rsidR="00876C44" w:rsidRPr="000F28B6">
        <w:rPr>
          <w:rFonts w:ascii="Times New Roman" w:hAnsi="Times New Roman"/>
          <w:color w:val="auto"/>
          <w:szCs w:val="24"/>
        </w:rPr>
        <w:t>, România riscă sancțiuni pecuniare drastice, care pot dezechilibra bugetul de stat, pe un termen considerabil,</w:t>
      </w:r>
    </w:p>
    <w:p w14:paraId="49C5E67D" w14:textId="7BCD3FBF" w:rsidR="00876C44" w:rsidRPr="000F28B6" w:rsidRDefault="00876C44" w:rsidP="00F007B6">
      <w:pPr>
        <w:pStyle w:val="BodyText"/>
        <w:spacing w:after="120" w:line="360" w:lineRule="auto"/>
        <w:rPr>
          <w:rFonts w:ascii="Times New Roman" w:hAnsi="Times New Roman"/>
          <w:color w:val="auto"/>
          <w:szCs w:val="24"/>
        </w:rPr>
      </w:pPr>
      <w:r w:rsidRPr="000F28B6">
        <w:rPr>
          <w:rFonts w:ascii="Times New Roman" w:hAnsi="Times New Roman"/>
          <w:color w:val="auto"/>
          <w:szCs w:val="24"/>
        </w:rPr>
        <w:t>Având în vedere</w:t>
      </w:r>
      <w:r w:rsidR="005F56CE">
        <w:rPr>
          <w:rFonts w:ascii="Times New Roman" w:hAnsi="Times New Roman"/>
          <w:color w:val="auto"/>
          <w:szCs w:val="24"/>
        </w:rPr>
        <w:t xml:space="preserve"> </w:t>
      </w:r>
      <w:r w:rsidRPr="000F28B6">
        <w:rPr>
          <w:rFonts w:ascii="Times New Roman" w:hAnsi="Times New Roman"/>
          <w:color w:val="auto"/>
          <w:szCs w:val="24"/>
        </w:rPr>
        <w:t>faptul că A</w:t>
      </w:r>
      <w:r w:rsidR="005F56CE">
        <w:rPr>
          <w:rFonts w:ascii="Times New Roman" w:hAnsi="Times New Roman"/>
          <w:color w:val="auto"/>
          <w:szCs w:val="24"/>
        </w:rPr>
        <w:t xml:space="preserve">dministrația </w:t>
      </w:r>
      <w:r w:rsidRPr="000F28B6">
        <w:rPr>
          <w:rFonts w:ascii="Times New Roman" w:hAnsi="Times New Roman"/>
          <w:color w:val="auto"/>
          <w:szCs w:val="24"/>
        </w:rPr>
        <w:t>F</w:t>
      </w:r>
      <w:r w:rsidR="005F56CE">
        <w:rPr>
          <w:rFonts w:ascii="Times New Roman" w:hAnsi="Times New Roman"/>
          <w:color w:val="auto"/>
          <w:szCs w:val="24"/>
        </w:rPr>
        <w:t xml:space="preserve">ondului pentru </w:t>
      </w:r>
      <w:r w:rsidRPr="000F28B6">
        <w:rPr>
          <w:rFonts w:ascii="Times New Roman" w:hAnsi="Times New Roman"/>
          <w:color w:val="auto"/>
          <w:szCs w:val="24"/>
        </w:rPr>
        <w:t>M</w:t>
      </w:r>
      <w:r w:rsidR="005F56CE">
        <w:rPr>
          <w:rFonts w:ascii="Times New Roman" w:hAnsi="Times New Roman"/>
          <w:color w:val="auto"/>
          <w:szCs w:val="24"/>
        </w:rPr>
        <w:t>ediu</w:t>
      </w:r>
      <w:r w:rsidRPr="000F28B6">
        <w:rPr>
          <w:rFonts w:ascii="Times New Roman" w:hAnsi="Times New Roman"/>
          <w:color w:val="auto"/>
          <w:szCs w:val="24"/>
        </w:rPr>
        <w:t xml:space="preserve"> a demarat o analiză diagnostic (due diligence - pentru 25 depozite neconforme) în vederea stabilirii situației în care se află operatorii economici care dețin în proprietate imobilele supuse exproprierii, precum și a informațiilor de ordin tehnic necesare lansării procedurilor de achiziție pentru întocmirea studiilor de fezabilitate, necesare exproprierilor,</w:t>
      </w:r>
    </w:p>
    <w:p w14:paraId="42B1AA0D" w14:textId="3E8560AB" w:rsidR="00E66B1F" w:rsidRPr="000F28B6" w:rsidRDefault="003B4B90" w:rsidP="00F007B6">
      <w:pPr>
        <w:pStyle w:val="BodyText"/>
        <w:spacing w:after="120" w:line="360" w:lineRule="auto"/>
        <w:rPr>
          <w:rFonts w:ascii="Times New Roman" w:hAnsi="Times New Roman"/>
          <w:color w:val="auto"/>
          <w:szCs w:val="24"/>
        </w:rPr>
      </w:pPr>
      <w:r>
        <w:rPr>
          <w:rFonts w:ascii="Times New Roman" w:hAnsi="Times New Roman"/>
          <w:color w:val="auto"/>
          <w:szCs w:val="24"/>
        </w:rPr>
        <w:t xml:space="preserve">Ținând cont </w:t>
      </w:r>
      <w:r w:rsidR="00E66B1F" w:rsidRPr="000F28B6">
        <w:rPr>
          <w:rFonts w:ascii="Times New Roman" w:hAnsi="Times New Roman"/>
          <w:color w:val="auto"/>
          <w:szCs w:val="24"/>
        </w:rPr>
        <w:t>că România, în calitate de stat membru al Uniunii Europene, trebuie să pună în aplicare obligațiile care derivă din acquis–ul UE și să adopte acte normative care creează cadrul necesar și predictibil pentru autoritățile locale și mediul privat în sensul stimulării performanței, concurenței echitabile, evitând astfel obstacolele în calea bunei funcționări a pieței interne,</w:t>
      </w:r>
    </w:p>
    <w:p w14:paraId="6E2E0724" w14:textId="14CDAA84" w:rsidR="00E66B1F" w:rsidRPr="000F28B6" w:rsidRDefault="00E66B1F" w:rsidP="00F007B6">
      <w:pPr>
        <w:pStyle w:val="BodyText"/>
        <w:spacing w:after="120" w:line="360" w:lineRule="auto"/>
        <w:rPr>
          <w:rFonts w:ascii="Times New Roman" w:hAnsi="Times New Roman"/>
          <w:color w:val="auto"/>
          <w:szCs w:val="24"/>
        </w:rPr>
      </w:pPr>
      <w:r w:rsidRPr="000F28B6">
        <w:rPr>
          <w:rFonts w:ascii="Times New Roman" w:hAnsi="Times New Roman"/>
          <w:color w:val="auto"/>
          <w:szCs w:val="24"/>
        </w:rPr>
        <w:t xml:space="preserve">Luând în considerare necesitatea instituirii unor măsuri care privesc modul de reglementare și organizare  </w:t>
      </w:r>
      <w:r w:rsidRPr="000F28B6">
        <w:rPr>
          <w:rFonts w:ascii="Times New Roman" w:hAnsi="Times New Roman"/>
          <w:color w:val="auto"/>
          <w:szCs w:val="24"/>
        </w:rPr>
        <w:lastRenderedPageBreak/>
        <w:t>a sistemului de gestionare a deșeurilor, astfel încât să reflecte prevederile directivelor europene  în ceea ce privește mecanismele care vor conduce la atingerea obiectivelor de pregătire pentru reutilizare și reciclarea deșeurilor care au devenit mult mai ambițioase, reflectând mai bine politica Uniunii de a trece la o economie circulară,</w:t>
      </w:r>
    </w:p>
    <w:p w14:paraId="2BC9C74E" w14:textId="5D9F4949" w:rsidR="003B4B90" w:rsidRDefault="003B4B90" w:rsidP="003B4B90">
      <w:pPr>
        <w:spacing w:after="240" w:line="360" w:lineRule="auto"/>
        <w:ind w:left="0" w:right="8"/>
        <w:rPr>
          <w:rFonts w:ascii="Times New Roman" w:hAnsi="Times New Roman"/>
          <w:sz w:val="24"/>
          <w:szCs w:val="24"/>
        </w:rPr>
      </w:pPr>
      <w:r>
        <w:rPr>
          <w:rFonts w:ascii="Times New Roman" w:hAnsi="Times New Roman"/>
          <w:sz w:val="24"/>
          <w:szCs w:val="24"/>
        </w:rPr>
        <w:t>În baza faptului</w:t>
      </w:r>
      <w:r w:rsidR="00153481" w:rsidRPr="004053FC">
        <w:rPr>
          <w:rFonts w:ascii="Times New Roman" w:hAnsi="Times New Roman"/>
          <w:sz w:val="24"/>
          <w:szCs w:val="24"/>
        </w:rPr>
        <w:t xml:space="preserve"> că prin Planul Național de Redresare și Reziliență se urmăresc investiții în managementul sustenabil al gunoiului de grajd și al altor deșeuri agricole compostabile finanțate prin PNRR</w:t>
      </w:r>
      <w:r>
        <w:rPr>
          <w:rFonts w:ascii="Times New Roman" w:hAnsi="Times New Roman"/>
          <w:sz w:val="24"/>
          <w:szCs w:val="24"/>
        </w:rPr>
        <w:t xml:space="preserve">, </w:t>
      </w:r>
      <w:r w:rsidR="00153481" w:rsidRPr="004053FC">
        <w:rPr>
          <w:rFonts w:ascii="Times New Roman" w:hAnsi="Times New Roman"/>
          <w:sz w:val="24"/>
          <w:szCs w:val="24"/>
        </w:rPr>
        <w:t>care vor contribui la reducerea emisiilor de gaze cu efect de seră, în special a metanului și a amoniacului rezultate din activitățile agricole specifice, precum și reducerea poluării cu nitrați și nitriți,</w:t>
      </w:r>
      <w:r w:rsidRPr="003B4B90">
        <w:rPr>
          <w:rFonts w:ascii="Times New Roman" w:hAnsi="Times New Roman"/>
          <w:sz w:val="24"/>
          <w:szCs w:val="24"/>
        </w:rPr>
        <w:t>Pentru respectarea obligaţiilor care decurg din calitatea de stat membru al Uniunii Europene şi valorizarea principiilor cooperării loiale, bunei-credinţe şi a echivalenţei,</w:t>
      </w:r>
    </w:p>
    <w:p w14:paraId="2C3DBE36" w14:textId="77777777" w:rsidR="003B4B90" w:rsidRPr="003B4B90" w:rsidRDefault="003B4B90" w:rsidP="003B4B90">
      <w:pPr>
        <w:spacing w:after="240" w:line="360" w:lineRule="auto"/>
        <w:ind w:left="0" w:right="8"/>
        <w:rPr>
          <w:rFonts w:ascii="Times New Roman" w:hAnsi="Times New Roman"/>
          <w:sz w:val="24"/>
          <w:szCs w:val="24"/>
        </w:rPr>
      </w:pPr>
      <w:bookmarkStart w:id="0" w:name="_Hlk66868183"/>
      <w:r w:rsidRPr="003B4B90">
        <w:rPr>
          <w:rFonts w:ascii="Times New Roman" w:hAnsi="Times New Roman"/>
          <w:sz w:val="24"/>
          <w:szCs w:val="24"/>
        </w:rPr>
        <w:t>Întrucât elementele antemenționate constituie premisele unei situații urgente și extraordinare a căror reglementare nu poate fi amânată și care impune adoptarea de măsuri imediate în vederea stabilirii cadrului normativ adecvat, precum și consecința negativă asupra bugetului de stat pe care ar produce-o neadoptarea acestor măsuri,</w:t>
      </w:r>
    </w:p>
    <w:p w14:paraId="43467BE9" w14:textId="68E9D87A" w:rsidR="003B4B90" w:rsidRPr="004053FC" w:rsidRDefault="003B4B90" w:rsidP="003B4B90">
      <w:pPr>
        <w:spacing w:after="240" w:line="360" w:lineRule="auto"/>
        <w:ind w:left="0" w:right="8"/>
        <w:rPr>
          <w:rFonts w:ascii="Times New Roman" w:hAnsi="Times New Roman"/>
          <w:sz w:val="24"/>
          <w:szCs w:val="24"/>
          <w:u w:val="single"/>
        </w:rPr>
      </w:pPr>
      <w:r w:rsidRPr="003B4B90">
        <w:rPr>
          <w:rFonts w:ascii="Times New Roman" w:hAnsi="Times New Roman"/>
          <w:sz w:val="24"/>
          <w:szCs w:val="24"/>
        </w:rPr>
        <w:t xml:space="preserve">În considerarea faptului că aceste aspecte vizează interesul public general și constituie situații de urgență și extraordinare a căror reglementare nu poate fi amânată, </w:t>
      </w:r>
      <w:bookmarkEnd w:id="0"/>
    </w:p>
    <w:p w14:paraId="1766647F" w14:textId="310905DE" w:rsidR="00390740" w:rsidRDefault="007E7D71" w:rsidP="00374EF6">
      <w:pPr>
        <w:tabs>
          <w:tab w:val="center" w:pos="567"/>
        </w:tabs>
        <w:spacing w:after="0" w:line="360" w:lineRule="auto"/>
        <w:ind w:left="0"/>
        <w:rPr>
          <w:rFonts w:ascii="Times New Roman" w:hAnsi="Times New Roman"/>
          <w:bCs/>
          <w:iCs/>
          <w:noProof/>
          <w:color w:val="000000"/>
          <w:sz w:val="24"/>
          <w:szCs w:val="24"/>
        </w:rPr>
      </w:pPr>
      <w:r w:rsidRPr="000F28B6">
        <w:rPr>
          <w:rFonts w:ascii="Times New Roman" w:hAnsi="Times New Roman"/>
          <w:bCs/>
          <w:iCs/>
          <w:noProof/>
          <w:color w:val="000000"/>
          <w:sz w:val="24"/>
          <w:szCs w:val="24"/>
        </w:rPr>
        <w:t>În temeiul art.</w:t>
      </w:r>
      <w:r w:rsidR="003B4B90">
        <w:rPr>
          <w:rFonts w:ascii="Times New Roman" w:hAnsi="Times New Roman"/>
          <w:bCs/>
          <w:iCs/>
          <w:noProof/>
          <w:color w:val="000000"/>
          <w:sz w:val="24"/>
          <w:szCs w:val="24"/>
        </w:rPr>
        <w:t xml:space="preserve"> 115 alin. (4) </w:t>
      </w:r>
      <w:r w:rsidRPr="000F28B6">
        <w:rPr>
          <w:rFonts w:ascii="Times New Roman" w:hAnsi="Times New Roman"/>
          <w:bCs/>
          <w:iCs/>
          <w:noProof/>
          <w:color w:val="000000"/>
          <w:sz w:val="24"/>
          <w:szCs w:val="24"/>
        </w:rPr>
        <w:t>din Constituția României, republicată</w:t>
      </w:r>
      <w:r w:rsidR="003B4B90">
        <w:rPr>
          <w:rFonts w:ascii="Times New Roman" w:hAnsi="Times New Roman"/>
          <w:bCs/>
          <w:iCs/>
          <w:noProof/>
          <w:color w:val="000000"/>
          <w:sz w:val="24"/>
          <w:szCs w:val="24"/>
        </w:rPr>
        <w:t>,</w:t>
      </w:r>
      <w:r w:rsidRPr="000F28B6">
        <w:rPr>
          <w:rFonts w:ascii="Times New Roman" w:hAnsi="Times New Roman"/>
          <w:bCs/>
          <w:iCs/>
          <w:noProof/>
          <w:color w:val="000000"/>
          <w:sz w:val="24"/>
          <w:szCs w:val="24"/>
        </w:rPr>
        <w:t xml:space="preserve"> </w:t>
      </w:r>
    </w:p>
    <w:p w14:paraId="6DFC2708" w14:textId="77777777" w:rsidR="004D2057" w:rsidRPr="000F28B6" w:rsidRDefault="004D2057" w:rsidP="00374EF6">
      <w:pPr>
        <w:tabs>
          <w:tab w:val="center" w:pos="567"/>
        </w:tabs>
        <w:spacing w:after="0" w:line="360" w:lineRule="auto"/>
        <w:ind w:left="0"/>
        <w:rPr>
          <w:rFonts w:ascii="Times New Roman" w:eastAsia="Arial" w:hAnsi="Times New Roman"/>
          <w:sz w:val="24"/>
          <w:szCs w:val="24"/>
        </w:rPr>
      </w:pPr>
    </w:p>
    <w:p w14:paraId="55223D0C" w14:textId="3BF8B6E0" w:rsidR="000C73E0" w:rsidRPr="000F28B6" w:rsidRDefault="00390740" w:rsidP="00F007B6">
      <w:pPr>
        <w:spacing w:after="0" w:line="360" w:lineRule="auto"/>
        <w:ind w:left="0"/>
        <w:rPr>
          <w:rFonts w:ascii="Times New Roman" w:eastAsia="Arial" w:hAnsi="Times New Roman"/>
          <w:sz w:val="24"/>
          <w:szCs w:val="24"/>
        </w:rPr>
      </w:pPr>
      <w:r w:rsidRPr="000F28B6">
        <w:rPr>
          <w:rFonts w:ascii="Times New Roman" w:eastAsia="Arial" w:hAnsi="Times New Roman"/>
          <w:b/>
          <w:sz w:val="24"/>
          <w:szCs w:val="24"/>
        </w:rPr>
        <w:t>Guvernul României</w:t>
      </w:r>
      <w:r w:rsidRPr="000F28B6">
        <w:rPr>
          <w:rFonts w:ascii="Times New Roman" w:eastAsia="Arial" w:hAnsi="Times New Roman"/>
          <w:sz w:val="24"/>
          <w:szCs w:val="24"/>
        </w:rPr>
        <w:t xml:space="preserve"> adoptă prezenta ordonanță</w:t>
      </w:r>
      <w:r w:rsidR="00F007B6" w:rsidRPr="000F28B6">
        <w:rPr>
          <w:rFonts w:ascii="Times New Roman" w:eastAsia="Arial" w:hAnsi="Times New Roman"/>
          <w:sz w:val="24"/>
          <w:szCs w:val="24"/>
        </w:rPr>
        <w:t xml:space="preserve"> de urgență</w:t>
      </w:r>
      <w:r w:rsidRPr="000F28B6">
        <w:rPr>
          <w:rFonts w:ascii="Times New Roman" w:eastAsia="Arial" w:hAnsi="Times New Roman"/>
          <w:sz w:val="24"/>
          <w:szCs w:val="24"/>
        </w:rPr>
        <w:t>:</w:t>
      </w:r>
    </w:p>
    <w:p w14:paraId="5DB37455" w14:textId="77777777" w:rsidR="00396047" w:rsidRPr="000F28B6" w:rsidRDefault="00396047" w:rsidP="00396047">
      <w:pPr>
        <w:pStyle w:val="ListParagraph"/>
        <w:tabs>
          <w:tab w:val="left" w:pos="284"/>
        </w:tabs>
        <w:spacing w:after="0" w:line="360" w:lineRule="auto"/>
        <w:ind w:left="0"/>
        <w:rPr>
          <w:rFonts w:ascii="Times New Roman" w:hAnsi="Times New Roman"/>
          <w:sz w:val="24"/>
          <w:szCs w:val="24"/>
        </w:rPr>
      </w:pPr>
    </w:p>
    <w:p w14:paraId="4A7295D3" w14:textId="684797D5" w:rsidR="0047389E" w:rsidRDefault="00FC73C5" w:rsidP="004053FC">
      <w:pPr>
        <w:pStyle w:val="ListParagraph"/>
        <w:tabs>
          <w:tab w:val="left" w:pos="284"/>
        </w:tabs>
        <w:spacing w:after="0" w:line="360" w:lineRule="auto"/>
        <w:ind w:left="0"/>
        <w:rPr>
          <w:rFonts w:ascii="Times New Roman" w:hAnsi="Times New Roman"/>
          <w:b/>
          <w:bCs/>
          <w:sz w:val="24"/>
          <w:szCs w:val="24"/>
        </w:rPr>
      </w:pPr>
      <w:r w:rsidRPr="000F28B6">
        <w:rPr>
          <w:rFonts w:ascii="Times New Roman" w:hAnsi="Times New Roman"/>
          <w:b/>
          <w:sz w:val="24"/>
          <w:szCs w:val="24"/>
        </w:rPr>
        <w:t>Art.</w:t>
      </w:r>
      <w:r w:rsidR="007716CC" w:rsidRPr="000F28B6">
        <w:rPr>
          <w:rFonts w:ascii="Times New Roman" w:hAnsi="Times New Roman"/>
          <w:b/>
          <w:sz w:val="24"/>
          <w:szCs w:val="24"/>
        </w:rPr>
        <w:t xml:space="preserve"> </w:t>
      </w:r>
      <w:r w:rsidRPr="000F28B6">
        <w:rPr>
          <w:rFonts w:ascii="Times New Roman" w:hAnsi="Times New Roman"/>
          <w:b/>
          <w:sz w:val="24"/>
          <w:szCs w:val="24"/>
        </w:rPr>
        <w:t>I.</w:t>
      </w:r>
      <w:r w:rsidR="0047389E">
        <w:rPr>
          <w:rFonts w:ascii="Times New Roman" w:hAnsi="Times New Roman"/>
          <w:bCs/>
          <w:sz w:val="24"/>
          <w:szCs w:val="24"/>
        </w:rPr>
        <w:t xml:space="preserve"> </w:t>
      </w:r>
      <w:r w:rsidR="0047389E" w:rsidRPr="004053FC">
        <w:rPr>
          <w:rFonts w:ascii="Times New Roman" w:hAnsi="Times New Roman"/>
          <w:b/>
          <w:bCs/>
          <w:sz w:val="24"/>
          <w:szCs w:val="24"/>
        </w:rPr>
        <w:t xml:space="preserve">- </w:t>
      </w:r>
      <w:r w:rsidRPr="003B4B90">
        <w:rPr>
          <w:rFonts w:ascii="Times New Roman" w:hAnsi="Times New Roman"/>
          <w:b/>
          <w:bCs/>
          <w:sz w:val="24"/>
          <w:szCs w:val="24"/>
        </w:rPr>
        <w:t xml:space="preserve">Ordonanța de urgență a Guvernului nr. 196/2005 privind Fondul pentru mediu, aprobată cu modificări și completări prin Legea nr. 105/2006, publicată în Monitorul Oficial al României, Partea I, nr. 1193 din 30 decembrie 2005, cu modificările și completările </w:t>
      </w:r>
      <w:r w:rsidRPr="00834915">
        <w:rPr>
          <w:rFonts w:ascii="Times New Roman" w:hAnsi="Times New Roman"/>
          <w:b/>
          <w:bCs/>
          <w:sz w:val="24"/>
          <w:szCs w:val="24"/>
        </w:rPr>
        <w:t xml:space="preserve">ulterioare, se modifică </w:t>
      </w:r>
      <w:r w:rsidR="007716CC" w:rsidRPr="00834915">
        <w:rPr>
          <w:rFonts w:ascii="Times New Roman" w:hAnsi="Times New Roman"/>
          <w:b/>
          <w:bCs/>
          <w:sz w:val="24"/>
          <w:szCs w:val="24"/>
        </w:rPr>
        <w:t>și</w:t>
      </w:r>
      <w:r w:rsidRPr="00834915">
        <w:rPr>
          <w:rFonts w:ascii="Times New Roman" w:hAnsi="Times New Roman"/>
          <w:b/>
          <w:bCs/>
          <w:sz w:val="24"/>
          <w:szCs w:val="24"/>
        </w:rPr>
        <w:t xml:space="preserve"> se completează după cum urmează:</w:t>
      </w:r>
    </w:p>
    <w:p w14:paraId="0B628F33" w14:textId="77777777" w:rsidR="00834915" w:rsidRPr="003B4B90" w:rsidRDefault="00834915" w:rsidP="004053FC">
      <w:pPr>
        <w:pStyle w:val="ListParagraph"/>
        <w:tabs>
          <w:tab w:val="left" w:pos="284"/>
        </w:tabs>
        <w:spacing w:after="0" w:line="360" w:lineRule="auto"/>
        <w:ind w:left="0"/>
        <w:rPr>
          <w:rFonts w:ascii="Times New Roman" w:hAnsi="Times New Roman"/>
          <w:b/>
          <w:bCs/>
          <w:sz w:val="24"/>
          <w:szCs w:val="24"/>
        </w:rPr>
      </w:pPr>
    </w:p>
    <w:p w14:paraId="74DF6346" w14:textId="60E19601" w:rsidR="00FC73C5" w:rsidRPr="004053FC" w:rsidRDefault="000960FD" w:rsidP="004053FC">
      <w:pPr>
        <w:tabs>
          <w:tab w:val="left" w:pos="284"/>
        </w:tabs>
        <w:spacing w:line="360" w:lineRule="auto"/>
        <w:ind w:left="0"/>
        <w:rPr>
          <w:rFonts w:ascii="Times New Roman" w:hAnsi="Times New Roman"/>
          <w:b/>
          <w:sz w:val="24"/>
          <w:szCs w:val="24"/>
        </w:rPr>
      </w:pPr>
      <w:r w:rsidRPr="004053FC">
        <w:rPr>
          <w:rFonts w:ascii="Times New Roman" w:hAnsi="Times New Roman"/>
          <w:b/>
          <w:sz w:val="24"/>
          <w:szCs w:val="24"/>
        </w:rPr>
        <w:t xml:space="preserve">2. </w:t>
      </w:r>
      <w:r w:rsidR="00E602BA" w:rsidRPr="004053FC">
        <w:rPr>
          <w:rFonts w:ascii="Times New Roman" w:hAnsi="Times New Roman"/>
          <w:b/>
          <w:sz w:val="24"/>
          <w:szCs w:val="24"/>
        </w:rPr>
        <w:t xml:space="preserve">La articolul 9, </w:t>
      </w:r>
      <w:r w:rsidR="00FC73C5" w:rsidRPr="004053FC">
        <w:rPr>
          <w:rFonts w:ascii="Times New Roman" w:hAnsi="Times New Roman"/>
          <w:b/>
          <w:sz w:val="24"/>
          <w:szCs w:val="24"/>
        </w:rPr>
        <w:t>alineatul (1), după litera y) se introdu</w:t>
      </w:r>
      <w:r w:rsidR="0090168D">
        <w:rPr>
          <w:rFonts w:ascii="Times New Roman" w:hAnsi="Times New Roman"/>
          <w:b/>
          <w:sz w:val="24"/>
          <w:szCs w:val="24"/>
        </w:rPr>
        <w:t>ce o nouă literă,</w:t>
      </w:r>
      <w:r w:rsidR="00437CD8" w:rsidRPr="004053FC">
        <w:rPr>
          <w:rFonts w:ascii="Times New Roman" w:hAnsi="Times New Roman"/>
          <w:b/>
          <w:sz w:val="24"/>
          <w:szCs w:val="24"/>
        </w:rPr>
        <w:t xml:space="preserve"> litera z)</w:t>
      </w:r>
      <w:r w:rsidR="00A359B4">
        <w:rPr>
          <w:rFonts w:ascii="Times New Roman" w:hAnsi="Times New Roman"/>
          <w:b/>
          <w:sz w:val="24"/>
          <w:szCs w:val="24"/>
        </w:rPr>
        <w:t>,</w:t>
      </w:r>
      <w:r w:rsidR="00437CD8" w:rsidRPr="008960DA">
        <w:t xml:space="preserve"> </w:t>
      </w:r>
      <w:r w:rsidR="00437CD8" w:rsidRPr="004053FC">
        <w:rPr>
          <w:rFonts w:ascii="Times New Roman" w:hAnsi="Times New Roman"/>
          <w:b/>
          <w:sz w:val="24"/>
          <w:szCs w:val="24"/>
        </w:rPr>
        <w:t xml:space="preserve">cu </w:t>
      </w:r>
      <w:r w:rsidR="00FC73C5" w:rsidRPr="004053FC">
        <w:rPr>
          <w:rFonts w:ascii="Times New Roman" w:hAnsi="Times New Roman"/>
          <w:b/>
          <w:sz w:val="24"/>
          <w:szCs w:val="24"/>
        </w:rPr>
        <w:t>următorul cuprins:</w:t>
      </w:r>
    </w:p>
    <w:p w14:paraId="338E2748" w14:textId="1356B3DB" w:rsidR="00493D09" w:rsidRPr="000F28B6" w:rsidRDefault="00FC73C5" w:rsidP="00A53B18">
      <w:pPr>
        <w:pStyle w:val="NormalWeb"/>
        <w:spacing w:line="360" w:lineRule="auto"/>
        <w:rPr>
          <w:rFonts w:ascii="Times New Roman" w:hAnsi="Times New Roman"/>
          <w:sz w:val="24"/>
          <w:szCs w:val="24"/>
        </w:rPr>
      </w:pPr>
      <w:r w:rsidRPr="000F28B6">
        <w:rPr>
          <w:rFonts w:ascii="Times New Roman" w:hAnsi="Times New Roman"/>
          <w:sz w:val="24"/>
          <w:szCs w:val="24"/>
        </w:rPr>
        <w:t xml:space="preserve">„z) o contribuție datorată de către operatorii economici care introduc pe piață ambalaje primare nereutilizabile prevăzute în Hotărârea Guvernului nr. 1074/2021 </w:t>
      </w:r>
      <w:r w:rsidRPr="000F28B6">
        <w:rPr>
          <w:rFonts w:ascii="Times New Roman" w:hAnsi="Times New Roman"/>
          <w:color w:val="auto"/>
          <w:sz w:val="24"/>
          <w:szCs w:val="24"/>
        </w:rPr>
        <w:t xml:space="preserve">privind stabilirea sistemului de </w:t>
      </w:r>
      <w:r w:rsidR="00493D09" w:rsidRPr="000F28B6">
        <w:rPr>
          <w:rFonts w:ascii="Times New Roman" w:hAnsi="Times New Roman"/>
          <w:color w:val="auto"/>
          <w:sz w:val="24"/>
          <w:szCs w:val="24"/>
        </w:rPr>
        <w:t>garanție</w:t>
      </w:r>
      <w:r w:rsidRPr="000F28B6">
        <w:rPr>
          <w:rFonts w:ascii="Times New Roman" w:hAnsi="Times New Roman"/>
          <w:color w:val="auto"/>
          <w:sz w:val="24"/>
          <w:szCs w:val="24"/>
        </w:rPr>
        <w:t xml:space="preserve">-returnare pentru ambalaje primare nereutilizabile, </w:t>
      </w:r>
      <w:r w:rsidR="00387A38" w:rsidRPr="000F28B6">
        <w:rPr>
          <w:rFonts w:ascii="Times New Roman" w:hAnsi="Times New Roman"/>
          <w:color w:val="auto"/>
          <w:sz w:val="24"/>
          <w:szCs w:val="24"/>
        </w:rPr>
        <w:t>republicată</w:t>
      </w:r>
      <w:r w:rsidRPr="000F28B6">
        <w:rPr>
          <w:rFonts w:ascii="Times New Roman" w:hAnsi="Times New Roman"/>
          <w:sz w:val="24"/>
          <w:szCs w:val="24"/>
        </w:rPr>
        <w:t>,</w:t>
      </w:r>
      <w:r w:rsidR="000960FD">
        <w:rPr>
          <w:rFonts w:ascii="Times New Roman" w:hAnsi="Times New Roman"/>
          <w:sz w:val="24"/>
          <w:szCs w:val="24"/>
        </w:rPr>
        <w:t xml:space="preserve"> cu modificările ulterioare,</w:t>
      </w:r>
      <w:r w:rsidRPr="000F28B6">
        <w:rPr>
          <w:rFonts w:ascii="Times New Roman" w:hAnsi="Times New Roman"/>
          <w:sz w:val="24"/>
          <w:szCs w:val="24"/>
        </w:rPr>
        <w:t xml:space="preserve"> </w:t>
      </w:r>
      <w:r w:rsidR="00387A38" w:rsidRPr="000F28B6">
        <w:rPr>
          <w:rFonts w:ascii="Times New Roman" w:hAnsi="Times New Roman"/>
          <w:sz w:val="24"/>
          <w:szCs w:val="24"/>
        </w:rPr>
        <w:t xml:space="preserve">calculată începând cu </w:t>
      </w:r>
      <w:r w:rsidR="000960FD">
        <w:rPr>
          <w:rFonts w:ascii="Times New Roman" w:hAnsi="Times New Roman"/>
          <w:sz w:val="24"/>
          <w:szCs w:val="24"/>
        </w:rPr>
        <w:t xml:space="preserve">data de </w:t>
      </w:r>
      <w:r w:rsidR="00387A38" w:rsidRPr="000F28B6">
        <w:rPr>
          <w:rFonts w:ascii="Times New Roman" w:hAnsi="Times New Roman"/>
          <w:sz w:val="24"/>
          <w:szCs w:val="24"/>
        </w:rPr>
        <w:t xml:space="preserve">01.01.2024 </w:t>
      </w:r>
      <w:r w:rsidRPr="000F28B6">
        <w:rPr>
          <w:rFonts w:ascii="Times New Roman" w:hAnsi="Times New Roman"/>
          <w:sz w:val="24"/>
          <w:szCs w:val="24"/>
        </w:rPr>
        <w:t>astfel:</w:t>
      </w:r>
    </w:p>
    <w:p w14:paraId="4CA3F5BF" w14:textId="7178D90A" w:rsidR="00493D09" w:rsidRPr="000F28B6" w:rsidRDefault="00493D09" w:rsidP="00A53B18">
      <w:pPr>
        <w:pStyle w:val="NormalWeb"/>
        <w:numPr>
          <w:ilvl w:val="0"/>
          <w:numId w:val="12"/>
        </w:numPr>
        <w:tabs>
          <w:tab w:val="left" w:pos="284"/>
          <w:tab w:val="center" w:pos="709"/>
        </w:tabs>
        <w:spacing w:line="360" w:lineRule="auto"/>
        <w:ind w:left="0" w:firstLine="0"/>
        <w:rPr>
          <w:rFonts w:ascii="Times New Roman" w:hAnsi="Times New Roman"/>
          <w:sz w:val="24"/>
          <w:szCs w:val="24"/>
        </w:rPr>
      </w:pPr>
      <w:r w:rsidRPr="000F28B6">
        <w:rPr>
          <w:rFonts w:ascii="Times New Roman" w:hAnsi="Times New Roman"/>
          <w:sz w:val="24"/>
          <w:szCs w:val="24"/>
        </w:rPr>
        <w:lastRenderedPageBreak/>
        <w:t xml:space="preserve">pentru fiecare unitate de ambalaj nereutilizabil din metal pentru care nu au fost îndeplinite obiectivele minime anuale de returnare, contribuția este egală cu valoarea garanției prevăzute la art. 12 alin. (5) din Hotărârea Guvernului nr. 1074/2021, </w:t>
      </w:r>
      <w:r w:rsidR="00455766" w:rsidRPr="000F28B6">
        <w:rPr>
          <w:rFonts w:ascii="Times New Roman" w:hAnsi="Times New Roman"/>
          <w:color w:val="auto"/>
          <w:sz w:val="24"/>
          <w:szCs w:val="24"/>
        </w:rPr>
        <w:t>republicată</w:t>
      </w:r>
      <w:r w:rsidR="000960FD">
        <w:rPr>
          <w:rFonts w:ascii="Times New Roman" w:hAnsi="Times New Roman"/>
          <w:color w:val="auto"/>
          <w:sz w:val="24"/>
          <w:szCs w:val="24"/>
        </w:rPr>
        <w:t>, cu modificările ulterioare</w:t>
      </w:r>
      <w:r w:rsidRPr="000F28B6">
        <w:rPr>
          <w:rFonts w:ascii="Times New Roman" w:hAnsi="Times New Roman"/>
          <w:sz w:val="24"/>
          <w:szCs w:val="24"/>
        </w:rPr>
        <w:t>;</w:t>
      </w:r>
      <w:r w:rsidR="00775735" w:rsidRPr="000F28B6">
        <w:rPr>
          <w:rFonts w:ascii="Times New Roman" w:hAnsi="Times New Roman"/>
          <w:sz w:val="24"/>
          <w:szCs w:val="24"/>
        </w:rPr>
        <w:t xml:space="preserve"> </w:t>
      </w:r>
    </w:p>
    <w:p w14:paraId="2F95DF78" w14:textId="04F0C2E1" w:rsidR="00C25F20" w:rsidRPr="000F28B6" w:rsidRDefault="00493D09" w:rsidP="00A53B18">
      <w:pPr>
        <w:pStyle w:val="NormalWeb"/>
        <w:numPr>
          <w:ilvl w:val="0"/>
          <w:numId w:val="12"/>
        </w:numPr>
        <w:tabs>
          <w:tab w:val="center" w:pos="142"/>
          <w:tab w:val="left" w:pos="284"/>
        </w:tabs>
        <w:spacing w:line="360" w:lineRule="auto"/>
        <w:ind w:left="0" w:firstLine="0"/>
        <w:rPr>
          <w:rFonts w:ascii="Times New Roman" w:hAnsi="Times New Roman"/>
          <w:sz w:val="24"/>
          <w:szCs w:val="24"/>
        </w:rPr>
      </w:pPr>
      <w:r w:rsidRPr="000F28B6">
        <w:rPr>
          <w:rFonts w:ascii="Times New Roman" w:hAnsi="Times New Roman"/>
          <w:sz w:val="24"/>
          <w:szCs w:val="24"/>
        </w:rPr>
        <w:t xml:space="preserve">pentru fiecare unitate de ambalaj nereutilizabil din sticlă și/sau plastic, după </w:t>
      </w:r>
      <w:r w:rsidRPr="00FC154E">
        <w:rPr>
          <w:rFonts w:ascii="Times New Roman" w:hAnsi="Times New Roman"/>
          <w:sz w:val="24"/>
          <w:szCs w:val="24"/>
        </w:rPr>
        <w:t>caz, pentru care nu au fost îndeplinite obiectivele minime anuale de returnare, contribuția este egală cu valoarea dublă a garanției</w:t>
      </w:r>
      <w:r w:rsidRPr="000F28B6">
        <w:rPr>
          <w:rFonts w:ascii="Times New Roman" w:hAnsi="Times New Roman"/>
          <w:sz w:val="24"/>
          <w:szCs w:val="24"/>
        </w:rPr>
        <w:t xml:space="preserve"> prevăzute la art. 12 alin. (5) din Hotărârea Guvernului nr. 1074/2021 privind stabilirea sistemului de garanție-returnare pentru ambalaje primare nereutilizabile, </w:t>
      </w:r>
      <w:r w:rsidR="00455766" w:rsidRPr="000F28B6">
        <w:rPr>
          <w:rFonts w:ascii="Times New Roman" w:hAnsi="Times New Roman"/>
          <w:color w:val="auto"/>
          <w:sz w:val="24"/>
          <w:szCs w:val="24"/>
        </w:rPr>
        <w:t>republicată</w:t>
      </w:r>
      <w:r w:rsidR="006F680C">
        <w:rPr>
          <w:rFonts w:ascii="Times New Roman" w:hAnsi="Times New Roman"/>
          <w:color w:val="auto"/>
          <w:sz w:val="24"/>
          <w:szCs w:val="24"/>
        </w:rPr>
        <w:t>,</w:t>
      </w:r>
      <w:r w:rsidR="006F680C" w:rsidRPr="006F680C">
        <w:rPr>
          <w:rFonts w:ascii="Times New Roman" w:eastAsiaTheme="minorHAnsi" w:hAnsi="Times New Roman"/>
          <w:color w:val="auto"/>
          <w:sz w:val="24"/>
          <w:szCs w:val="24"/>
          <w:lang w:eastAsia="en-US"/>
        </w:rPr>
        <w:t xml:space="preserve"> </w:t>
      </w:r>
      <w:r w:rsidR="006F680C" w:rsidRPr="006F680C">
        <w:rPr>
          <w:rFonts w:ascii="Times New Roman" w:hAnsi="Times New Roman"/>
          <w:color w:val="auto"/>
          <w:sz w:val="24"/>
          <w:szCs w:val="24"/>
        </w:rPr>
        <w:t>cu modificările ulterioare</w:t>
      </w:r>
      <w:r w:rsidR="006F680C">
        <w:rPr>
          <w:rFonts w:ascii="Times New Roman" w:hAnsi="Times New Roman"/>
          <w:sz w:val="24"/>
          <w:szCs w:val="24"/>
        </w:rPr>
        <w:t>.</w:t>
      </w:r>
    </w:p>
    <w:p w14:paraId="4AD19C3E" w14:textId="52801700" w:rsidR="001343B5" w:rsidRDefault="006F680C" w:rsidP="004053FC">
      <w:pPr>
        <w:ind w:left="0"/>
        <w:rPr>
          <w:rFonts w:ascii="Times New Roman" w:hAnsi="Times New Roman"/>
          <w:color w:val="000000"/>
          <w:sz w:val="24"/>
          <w:szCs w:val="24"/>
        </w:rPr>
      </w:pPr>
      <w:r>
        <w:rPr>
          <w:rFonts w:ascii="Times New Roman" w:hAnsi="Times New Roman"/>
          <w:sz w:val="24"/>
          <w:szCs w:val="24"/>
        </w:rPr>
        <w:t>P</w:t>
      </w:r>
      <w:r w:rsidR="00493D09" w:rsidRPr="000F28B6">
        <w:rPr>
          <w:rFonts w:ascii="Times New Roman" w:hAnsi="Times New Roman"/>
          <w:sz w:val="24"/>
          <w:szCs w:val="24"/>
        </w:rPr>
        <w:t xml:space="preserve">lata contribuțiilor prevăzute la punctele 1 </w:t>
      </w:r>
      <w:r w:rsidR="00A33489" w:rsidRPr="000F28B6">
        <w:rPr>
          <w:rFonts w:ascii="Times New Roman" w:hAnsi="Times New Roman"/>
          <w:sz w:val="24"/>
          <w:szCs w:val="24"/>
        </w:rPr>
        <w:t>ș</w:t>
      </w:r>
      <w:r w:rsidR="00493D09" w:rsidRPr="000F28B6">
        <w:rPr>
          <w:rFonts w:ascii="Times New Roman" w:hAnsi="Times New Roman"/>
          <w:sz w:val="24"/>
          <w:szCs w:val="24"/>
        </w:rPr>
        <w:t xml:space="preserve">i 2 </w:t>
      </w:r>
      <w:r w:rsidR="00A33489" w:rsidRPr="000F28B6">
        <w:rPr>
          <w:rFonts w:ascii="Times New Roman" w:hAnsi="Times New Roman"/>
          <w:sz w:val="24"/>
          <w:szCs w:val="24"/>
        </w:rPr>
        <w:t>s</w:t>
      </w:r>
      <w:r w:rsidR="00493D09" w:rsidRPr="000F28B6">
        <w:rPr>
          <w:rFonts w:ascii="Times New Roman" w:hAnsi="Times New Roman"/>
          <w:sz w:val="24"/>
          <w:szCs w:val="24"/>
        </w:rPr>
        <w:t xml:space="preserve">e va efectua pentru diferența dintre cantitățile de ambalaje primare nereutilizabile corespunzătoare obiectivelor minime anuale de returnare prevăzute la art. 4 alin. (2) din Hotărârea Guvernului nr. 1074/2021, </w:t>
      </w:r>
      <w:r w:rsidR="00455766" w:rsidRPr="000F28B6">
        <w:rPr>
          <w:rFonts w:ascii="Times New Roman" w:hAnsi="Times New Roman"/>
          <w:sz w:val="24"/>
          <w:szCs w:val="24"/>
        </w:rPr>
        <w:t>republicată,</w:t>
      </w:r>
      <w:r w:rsidRPr="006F680C">
        <w:t xml:space="preserve"> </w:t>
      </w:r>
      <w:r w:rsidRPr="006F680C">
        <w:rPr>
          <w:rFonts w:ascii="Times New Roman" w:hAnsi="Times New Roman"/>
          <w:sz w:val="24"/>
          <w:szCs w:val="24"/>
        </w:rPr>
        <w:t>cu modificările ulterioare</w:t>
      </w:r>
      <w:r>
        <w:rPr>
          <w:rFonts w:ascii="Times New Roman" w:hAnsi="Times New Roman"/>
          <w:sz w:val="24"/>
          <w:szCs w:val="24"/>
        </w:rPr>
        <w:t xml:space="preserve"> </w:t>
      </w:r>
      <w:r w:rsidR="00493D09" w:rsidRPr="000F28B6">
        <w:rPr>
          <w:rFonts w:ascii="Times New Roman" w:hAnsi="Times New Roman"/>
          <w:sz w:val="24"/>
          <w:szCs w:val="24"/>
        </w:rPr>
        <w:t>și cantitățile de ambalaje nereutilizabile efectiv returnate.”</w:t>
      </w:r>
    </w:p>
    <w:p w14:paraId="0923CBF9" w14:textId="77777777" w:rsidR="001343B5" w:rsidRPr="00834915" w:rsidRDefault="001343B5" w:rsidP="00C9070D">
      <w:pPr>
        <w:pStyle w:val="NormalWeb"/>
        <w:spacing w:line="360" w:lineRule="auto"/>
        <w:rPr>
          <w:rFonts w:ascii="Times New Roman" w:hAnsi="Times New Roman"/>
          <w:sz w:val="24"/>
          <w:szCs w:val="24"/>
        </w:rPr>
      </w:pPr>
    </w:p>
    <w:p w14:paraId="73A2C52C" w14:textId="494483BF" w:rsidR="007716CC" w:rsidRPr="004053FC" w:rsidRDefault="008960DA" w:rsidP="004053FC">
      <w:pPr>
        <w:ind w:left="0"/>
        <w:rPr>
          <w:rFonts w:ascii="Times New Roman" w:hAnsi="Times New Roman"/>
          <w:b/>
          <w:sz w:val="24"/>
          <w:szCs w:val="24"/>
        </w:rPr>
      </w:pPr>
      <w:r w:rsidRPr="004053FC">
        <w:rPr>
          <w:rFonts w:ascii="Times New Roman" w:hAnsi="Times New Roman"/>
          <w:b/>
          <w:sz w:val="24"/>
          <w:szCs w:val="24"/>
        </w:rPr>
        <w:t xml:space="preserve">3. </w:t>
      </w:r>
      <w:r w:rsidR="007716CC" w:rsidRPr="004053FC">
        <w:rPr>
          <w:rFonts w:ascii="Times New Roman" w:hAnsi="Times New Roman"/>
          <w:b/>
          <w:sz w:val="24"/>
          <w:szCs w:val="24"/>
        </w:rPr>
        <w:t>La a</w:t>
      </w:r>
      <w:r w:rsidR="00C43110" w:rsidRPr="004053FC">
        <w:rPr>
          <w:rFonts w:ascii="Times New Roman" w:hAnsi="Times New Roman"/>
          <w:b/>
          <w:sz w:val="24"/>
          <w:szCs w:val="24"/>
        </w:rPr>
        <w:t xml:space="preserve">rticolul 10, </w:t>
      </w:r>
      <w:r w:rsidR="00437CD8" w:rsidRPr="004053FC">
        <w:rPr>
          <w:rFonts w:ascii="Times New Roman" w:hAnsi="Times New Roman"/>
          <w:b/>
          <w:sz w:val="24"/>
          <w:szCs w:val="24"/>
        </w:rPr>
        <w:t>după</w:t>
      </w:r>
      <w:r w:rsidR="00C43110" w:rsidRPr="004053FC">
        <w:rPr>
          <w:rFonts w:ascii="Times New Roman" w:hAnsi="Times New Roman"/>
          <w:b/>
          <w:sz w:val="24"/>
          <w:szCs w:val="24"/>
        </w:rPr>
        <w:t xml:space="preserve"> alineatul (3</w:t>
      </w:r>
      <w:r w:rsidR="00C43110" w:rsidRPr="004053FC">
        <w:rPr>
          <w:rFonts w:ascii="Times New Roman" w:hAnsi="Times New Roman"/>
          <w:b/>
          <w:sz w:val="24"/>
          <w:szCs w:val="24"/>
          <w:vertAlign w:val="superscript"/>
        </w:rPr>
        <w:t>5</w:t>
      </w:r>
      <w:r w:rsidR="007716CC" w:rsidRPr="004053FC">
        <w:rPr>
          <w:rFonts w:ascii="Times New Roman" w:hAnsi="Times New Roman"/>
          <w:b/>
          <w:sz w:val="24"/>
          <w:szCs w:val="24"/>
        </w:rPr>
        <w:t>) se introdu</w:t>
      </w:r>
      <w:r w:rsidR="00C43110" w:rsidRPr="004053FC">
        <w:rPr>
          <w:rFonts w:ascii="Times New Roman" w:hAnsi="Times New Roman"/>
          <w:b/>
          <w:sz w:val="24"/>
          <w:szCs w:val="24"/>
        </w:rPr>
        <w:t>ce un nou alineat, alineatul (3</w:t>
      </w:r>
      <w:r w:rsidR="00C43110" w:rsidRPr="004053FC">
        <w:rPr>
          <w:rFonts w:ascii="Times New Roman" w:hAnsi="Times New Roman"/>
          <w:b/>
          <w:sz w:val="24"/>
          <w:szCs w:val="24"/>
          <w:vertAlign w:val="superscript"/>
        </w:rPr>
        <w:t>6</w:t>
      </w:r>
      <w:r w:rsidR="0090168D">
        <w:rPr>
          <w:rFonts w:ascii="Times New Roman" w:hAnsi="Times New Roman"/>
          <w:b/>
          <w:sz w:val="24"/>
          <w:szCs w:val="24"/>
        </w:rPr>
        <w:t>)</w:t>
      </w:r>
      <w:r w:rsidR="00A359B4">
        <w:rPr>
          <w:rFonts w:ascii="Times New Roman" w:hAnsi="Times New Roman"/>
          <w:b/>
          <w:sz w:val="24"/>
          <w:szCs w:val="24"/>
        </w:rPr>
        <w:t>,</w:t>
      </w:r>
      <w:r w:rsidR="007716CC" w:rsidRPr="004053FC">
        <w:rPr>
          <w:rFonts w:ascii="Times New Roman" w:hAnsi="Times New Roman"/>
          <w:b/>
          <w:sz w:val="24"/>
          <w:szCs w:val="24"/>
        </w:rPr>
        <w:t xml:space="preserve"> cu următorul cuprins:</w:t>
      </w:r>
    </w:p>
    <w:p w14:paraId="48EEFFFB" w14:textId="59F6929E" w:rsidR="007716CC" w:rsidRPr="001343B5" w:rsidRDefault="00C43110" w:rsidP="004A43F0">
      <w:pPr>
        <w:tabs>
          <w:tab w:val="left" w:pos="284"/>
        </w:tabs>
        <w:spacing w:after="0" w:line="360" w:lineRule="auto"/>
        <w:ind w:left="0"/>
        <w:rPr>
          <w:rFonts w:ascii="Times New Roman" w:hAnsi="Times New Roman"/>
          <w:sz w:val="24"/>
          <w:szCs w:val="24"/>
        </w:rPr>
      </w:pPr>
      <w:r w:rsidRPr="001343B5">
        <w:rPr>
          <w:rFonts w:ascii="Times New Roman" w:hAnsi="Times New Roman"/>
          <w:sz w:val="24"/>
          <w:szCs w:val="24"/>
        </w:rPr>
        <w:t>„(3</w:t>
      </w:r>
      <w:r w:rsidRPr="001343B5">
        <w:rPr>
          <w:rFonts w:ascii="Times New Roman" w:hAnsi="Times New Roman"/>
          <w:sz w:val="24"/>
          <w:szCs w:val="24"/>
          <w:vertAlign w:val="superscript"/>
        </w:rPr>
        <w:t>6</w:t>
      </w:r>
      <w:r w:rsidR="007716CC" w:rsidRPr="001343B5">
        <w:rPr>
          <w:rFonts w:ascii="Times New Roman" w:hAnsi="Times New Roman"/>
          <w:sz w:val="24"/>
          <w:szCs w:val="24"/>
        </w:rPr>
        <w:t xml:space="preserve">) Operatorii economici prevăzuți la art. 9 alin. (1) lit. z) sunt obligați să </w:t>
      </w:r>
      <w:r w:rsidR="007716CC" w:rsidRPr="001343B5">
        <w:rPr>
          <w:rFonts w:ascii="Times New Roman" w:hAnsi="Times New Roman"/>
          <w:color w:val="000000" w:themeColor="text1"/>
          <w:sz w:val="24"/>
          <w:szCs w:val="24"/>
        </w:rPr>
        <w:t xml:space="preserve">declare </w:t>
      </w:r>
      <w:r w:rsidR="004F7FA4" w:rsidRPr="001343B5">
        <w:rPr>
          <w:rFonts w:ascii="Times New Roman" w:hAnsi="Times New Roman"/>
          <w:color w:val="000000" w:themeColor="text1"/>
          <w:sz w:val="24"/>
          <w:szCs w:val="24"/>
        </w:rPr>
        <w:t>semestrial</w:t>
      </w:r>
      <w:r w:rsidR="007716CC" w:rsidRPr="001343B5">
        <w:rPr>
          <w:rFonts w:ascii="Times New Roman" w:hAnsi="Times New Roman"/>
          <w:color w:val="000000" w:themeColor="text1"/>
          <w:sz w:val="24"/>
          <w:szCs w:val="24"/>
        </w:rPr>
        <w:t xml:space="preserve">, </w:t>
      </w:r>
      <w:r w:rsidR="007716CC" w:rsidRPr="001343B5">
        <w:rPr>
          <w:rFonts w:ascii="Times New Roman" w:hAnsi="Times New Roman"/>
          <w:sz w:val="24"/>
          <w:szCs w:val="24"/>
        </w:rPr>
        <w:t xml:space="preserve">până la data de 25 a lunii următoare </w:t>
      </w:r>
      <w:r w:rsidR="007716CC" w:rsidRPr="001343B5">
        <w:rPr>
          <w:rFonts w:ascii="Times New Roman" w:hAnsi="Times New Roman"/>
          <w:color w:val="000000" w:themeColor="text1"/>
          <w:sz w:val="24"/>
          <w:szCs w:val="24"/>
        </w:rPr>
        <w:t>semestrului de raportare, cantitățile de ambalaje primare nereutilizabile, respectiv unitățile de ambalaje primare nereutilizabile, cât și cantitățile de ambalaje primare nereutilizabile folosite, returnate și gestionate de către aceștia.”</w:t>
      </w:r>
    </w:p>
    <w:p w14:paraId="0E678F31" w14:textId="77777777" w:rsidR="004A43F0" w:rsidRPr="000F28B6" w:rsidRDefault="004A43F0" w:rsidP="004A43F0">
      <w:pPr>
        <w:tabs>
          <w:tab w:val="left" w:pos="284"/>
        </w:tabs>
        <w:spacing w:after="0" w:line="360" w:lineRule="auto"/>
        <w:ind w:left="0"/>
        <w:rPr>
          <w:rFonts w:ascii="Times New Roman" w:hAnsi="Times New Roman"/>
          <w:sz w:val="24"/>
          <w:szCs w:val="24"/>
        </w:rPr>
      </w:pPr>
    </w:p>
    <w:p w14:paraId="13DF178E" w14:textId="647F18FE" w:rsidR="007716CC" w:rsidRPr="004053FC" w:rsidRDefault="008960DA" w:rsidP="004053FC">
      <w:pPr>
        <w:tabs>
          <w:tab w:val="left" w:pos="284"/>
        </w:tabs>
        <w:spacing w:after="0" w:line="360" w:lineRule="auto"/>
        <w:ind w:left="0"/>
        <w:rPr>
          <w:rFonts w:ascii="Times New Roman" w:hAnsi="Times New Roman"/>
          <w:b/>
          <w:sz w:val="24"/>
          <w:szCs w:val="24"/>
        </w:rPr>
      </w:pPr>
      <w:r>
        <w:rPr>
          <w:rFonts w:ascii="Times New Roman" w:hAnsi="Times New Roman"/>
          <w:b/>
          <w:sz w:val="24"/>
          <w:szCs w:val="24"/>
        </w:rPr>
        <w:t xml:space="preserve">4. </w:t>
      </w:r>
      <w:r w:rsidR="00E602BA" w:rsidRPr="004053FC">
        <w:rPr>
          <w:rFonts w:ascii="Times New Roman" w:hAnsi="Times New Roman"/>
          <w:b/>
          <w:sz w:val="24"/>
          <w:szCs w:val="24"/>
        </w:rPr>
        <w:t xml:space="preserve">La articolul 11, </w:t>
      </w:r>
      <w:r w:rsidR="00387A38" w:rsidRPr="004053FC">
        <w:rPr>
          <w:rFonts w:ascii="Times New Roman" w:hAnsi="Times New Roman"/>
          <w:b/>
          <w:sz w:val="24"/>
          <w:szCs w:val="24"/>
        </w:rPr>
        <w:t xml:space="preserve">după </w:t>
      </w:r>
      <w:r w:rsidR="007716CC" w:rsidRPr="004053FC">
        <w:rPr>
          <w:rFonts w:ascii="Times New Roman" w:hAnsi="Times New Roman"/>
          <w:b/>
          <w:sz w:val="24"/>
          <w:szCs w:val="24"/>
        </w:rPr>
        <w:t>alineatul (2</w:t>
      </w:r>
      <w:r>
        <w:rPr>
          <w:rFonts w:ascii="Times New Roman" w:hAnsi="Times New Roman"/>
          <w:b/>
          <w:sz w:val="24"/>
          <w:szCs w:val="24"/>
          <w:vertAlign w:val="superscript"/>
        </w:rPr>
        <w:t>4</w:t>
      </w:r>
      <w:r w:rsidR="007716CC" w:rsidRPr="004053FC">
        <w:rPr>
          <w:rFonts w:ascii="Times New Roman" w:hAnsi="Times New Roman"/>
          <w:b/>
          <w:sz w:val="24"/>
          <w:szCs w:val="24"/>
        </w:rPr>
        <w:t xml:space="preserve">) se </w:t>
      </w:r>
      <w:r w:rsidR="00387A38" w:rsidRPr="004053FC">
        <w:rPr>
          <w:rFonts w:ascii="Times New Roman" w:hAnsi="Times New Roman"/>
          <w:b/>
          <w:sz w:val="24"/>
          <w:szCs w:val="24"/>
        </w:rPr>
        <w:t>introduce un nou alineat, alineatul (</w:t>
      </w:r>
      <w:r w:rsidRPr="004053FC">
        <w:rPr>
          <w:rFonts w:ascii="Times New Roman" w:hAnsi="Times New Roman"/>
          <w:b/>
          <w:sz w:val="24"/>
          <w:szCs w:val="24"/>
        </w:rPr>
        <w:t>2</w:t>
      </w:r>
      <w:r>
        <w:rPr>
          <w:rFonts w:ascii="Times New Roman" w:hAnsi="Times New Roman"/>
          <w:b/>
          <w:sz w:val="24"/>
          <w:szCs w:val="24"/>
          <w:vertAlign w:val="superscript"/>
        </w:rPr>
        <w:t>5</w:t>
      </w:r>
      <w:r w:rsidR="00387A38" w:rsidRPr="004053FC">
        <w:rPr>
          <w:rFonts w:ascii="Times New Roman" w:hAnsi="Times New Roman"/>
          <w:b/>
          <w:sz w:val="24"/>
          <w:szCs w:val="24"/>
        </w:rPr>
        <w:t>)</w:t>
      </w:r>
      <w:r w:rsidR="00A359B4">
        <w:rPr>
          <w:rFonts w:ascii="Times New Roman" w:hAnsi="Times New Roman"/>
          <w:b/>
          <w:sz w:val="24"/>
          <w:szCs w:val="24"/>
        </w:rPr>
        <w:t>,</w:t>
      </w:r>
      <w:r w:rsidR="00387A38" w:rsidRPr="004053FC">
        <w:rPr>
          <w:rFonts w:ascii="Times New Roman" w:hAnsi="Times New Roman"/>
          <w:b/>
          <w:sz w:val="24"/>
          <w:szCs w:val="24"/>
        </w:rPr>
        <w:t xml:space="preserve"> cu</w:t>
      </w:r>
      <w:r w:rsidR="007716CC" w:rsidRPr="004053FC">
        <w:rPr>
          <w:rFonts w:ascii="Times New Roman" w:hAnsi="Times New Roman"/>
          <w:b/>
          <w:sz w:val="24"/>
          <w:szCs w:val="24"/>
        </w:rPr>
        <w:t xml:space="preserve"> următorul cuprins:</w:t>
      </w:r>
    </w:p>
    <w:p w14:paraId="2D627D1F" w14:textId="3C979422" w:rsidR="0081273D" w:rsidRDefault="0081273D" w:rsidP="004A43F0">
      <w:pPr>
        <w:tabs>
          <w:tab w:val="left" w:pos="0"/>
          <w:tab w:val="left" w:pos="284"/>
        </w:tabs>
        <w:spacing w:after="0" w:line="360" w:lineRule="auto"/>
        <w:ind w:left="0"/>
        <w:rPr>
          <w:rFonts w:ascii="Times New Roman" w:hAnsi="Times New Roman"/>
          <w:sz w:val="24"/>
          <w:szCs w:val="24"/>
        </w:rPr>
      </w:pPr>
    </w:p>
    <w:p w14:paraId="7007DA54" w14:textId="1E2E32AC" w:rsidR="0081273D" w:rsidRPr="000F28B6" w:rsidRDefault="004711C2" w:rsidP="004A43F0">
      <w:pPr>
        <w:tabs>
          <w:tab w:val="left" w:pos="0"/>
          <w:tab w:val="left" w:pos="284"/>
        </w:tabs>
        <w:spacing w:after="0" w:line="360" w:lineRule="auto"/>
        <w:ind w:left="0"/>
        <w:rPr>
          <w:rFonts w:ascii="Times New Roman" w:hAnsi="Times New Roman"/>
          <w:sz w:val="24"/>
          <w:szCs w:val="24"/>
        </w:rPr>
      </w:pPr>
      <w:r w:rsidRPr="000F28B6">
        <w:rPr>
          <w:rFonts w:ascii="Times New Roman" w:hAnsi="Times New Roman"/>
          <w:sz w:val="24"/>
          <w:szCs w:val="24"/>
        </w:rPr>
        <w:t>„(2</w:t>
      </w:r>
      <w:r>
        <w:rPr>
          <w:rFonts w:ascii="Times New Roman" w:hAnsi="Times New Roman"/>
          <w:sz w:val="24"/>
          <w:szCs w:val="24"/>
          <w:vertAlign w:val="superscript"/>
        </w:rPr>
        <w:t>5</w:t>
      </w:r>
      <w:r w:rsidRPr="000F28B6">
        <w:rPr>
          <w:rFonts w:ascii="Times New Roman" w:hAnsi="Times New Roman"/>
          <w:sz w:val="24"/>
          <w:szCs w:val="24"/>
        </w:rPr>
        <w:t xml:space="preserve">) </w:t>
      </w:r>
      <w:r>
        <w:rPr>
          <w:rFonts w:ascii="Times New Roman" w:hAnsi="Times New Roman"/>
          <w:sz w:val="24"/>
          <w:szCs w:val="24"/>
        </w:rPr>
        <w:t xml:space="preserve"> </w:t>
      </w:r>
      <w:r w:rsidR="00560A80">
        <w:rPr>
          <w:rFonts w:ascii="Times New Roman" w:hAnsi="Times New Roman"/>
          <w:sz w:val="24"/>
          <w:szCs w:val="24"/>
        </w:rPr>
        <w:t>Sumele prev</w:t>
      </w:r>
      <w:r w:rsidR="007A7E95">
        <w:rPr>
          <w:rFonts w:ascii="Times New Roman" w:hAnsi="Times New Roman"/>
          <w:sz w:val="24"/>
          <w:szCs w:val="24"/>
        </w:rPr>
        <w:t>ă</w:t>
      </w:r>
      <w:r w:rsidR="00560A80">
        <w:rPr>
          <w:rFonts w:ascii="Times New Roman" w:hAnsi="Times New Roman"/>
          <w:sz w:val="24"/>
          <w:szCs w:val="24"/>
        </w:rPr>
        <w:t>zute la art</w:t>
      </w:r>
      <w:r w:rsidR="007A7E95">
        <w:rPr>
          <w:rFonts w:ascii="Times New Roman" w:hAnsi="Times New Roman"/>
          <w:sz w:val="24"/>
          <w:szCs w:val="24"/>
        </w:rPr>
        <w:t>.</w:t>
      </w:r>
      <w:r w:rsidR="00560A80">
        <w:rPr>
          <w:rFonts w:ascii="Times New Roman" w:hAnsi="Times New Roman"/>
          <w:sz w:val="24"/>
          <w:szCs w:val="24"/>
        </w:rPr>
        <w:t xml:space="preserve"> 9 alin.</w:t>
      </w:r>
      <w:r w:rsidR="007A7E95">
        <w:rPr>
          <w:rFonts w:ascii="Times New Roman" w:hAnsi="Times New Roman"/>
          <w:sz w:val="24"/>
          <w:szCs w:val="24"/>
        </w:rPr>
        <w:t>(</w:t>
      </w:r>
      <w:r w:rsidR="00560A80">
        <w:rPr>
          <w:rFonts w:ascii="Times New Roman" w:hAnsi="Times New Roman"/>
          <w:sz w:val="24"/>
          <w:szCs w:val="24"/>
        </w:rPr>
        <w:t xml:space="preserve"> 1</w:t>
      </w:r>
      <w:r w:rsidR="007A7E95">
        <w:rPr>
          <w:rFonts w:ascii="Times New Roman" w:hAnsi="Times New Roman"/>
          <w:sz w:val="24"/>
          <w:szCs w:val="24"/>
        </w:rPr>
        <w:t>)</w:t>
      </w:r>
      <w:r w:rsidR="00560A80">
        <w:rPr>
          <w:rFonts w:ascii="Times New Roman" w:hAnsi="Times New Roman"/>
          <w:sz w:val="24"/>
          <w:szCs w:val="24"/>
        </w:rPr>
        <w:t xml:space="preserve"> lit.z se declar</w:t>
      </w:r>
      <w:r w:rsidR="007A7E95">
        <w:rPr>
          <w:rFonts w:ascii="Times New Roman" w:hAnsi="Times New Roman"/>
          <w:sz w:val="24"/>
          <w:szCs w:val="24"/>
        </w:rPr>
        <w:t>ă</w:t>
      </w:r>
      <w:r w:rsidR="00560A80">
        <w:rPr>
          <w:rFonts w:ascii="Times New Roman" w:hAnsi="Times New Roman"/>
          <w:sz w:val="24"/>
          <w:szCs w:val="24"/>
        </w:rPr>
        <w:t xml:space="preserve"> </w:t>
      </w:r>
      <w:r w:rsidR="007A7E95">
        <w:rPr>
          <w:rFonts w:ascii="Times New Roman" w:hAnsi="Times New Roman"/>
          <w:sz w:val="24"/>
          <w:szCs w:val="24"/>
        </w:rPr>
        <w:t>ș</w:t>
      </w:r>
      <w:r w:rsidR="00560A80">
        <w:rPr>
          <w:rFonts w:ascii="Times New Roman" w:hAnsi="Times New Roman"/>
          <w:sz w:val="24"/>
          <w:szCs w:val="24"/>
        </w:rPr>
        <w:t>i se pl</w:t>
      </w:r>
      <w:r w:rsidR="007A7E95">
        <w:rPr>
          <w:rFonts w:ascii="Times New Roman" w:hAnsi="Times New Roman"/>
          <w:sz w:val="24"/>
          <w:szCs w:val="24"/>
        </w:rPr>
        <w:t>ă</w:t>
      </w:r>
      <w:r w:rsidR="00560A80">
        <w:rPr>
          <w:rFonts w:ascii="Times New Roman" w:hAnsi="Times New Roman"/>
          <w:sz w:val="24"/>
          <w:szCs w:val="24"/>
        </w:rPr>
        <w:t>tesc anual de c</w:t>
      </w:r>
      <w:r w:rsidR="007A7E95">
        <w:rPr>
          <w:rFonts w:ascii="Times New Roman" w:hAnsi="Times New Roman"/>
          <w:sz w:val="24"/>
          <w:szCs w:val="24"/>
        </w:rPr>
        <w:t>ă</w:t>
      </w:r>
      <w:r w:rsidR="00560A80">
        <w:rPr>
          <w:rFonts w:ascii="Times New Roman" w:hAnsi="Times New Roman"/>
          <w:sz w:val="24"/>
          <w:szCs w:val="24"/>
        </w:rPr>
        <w:t xml:space="preserve">tre </w:t>
      </w:r>
      <w:r w:rsidR="00560A80" w:rsidRPr="00560A80">
        <w:rPr>
          <w:rFonts w:ascii="Times New Roman" w:hAnsi="Times New Roman"/>
          <w:sz w:val="24"/>
          <w:szCs w:val="24"/>
        </w:rPr>
        <w:t>operatorii economici prevăzuţi la art. 16 alin. (1) din Legea nr. 249/2015 privind modalitatea de gestionare a ambalajelor şi a deşeurilor de ambalaje, cu modificările şi completările ulterioare</w:t>
      </w:r>
      <w:r w:rsidR="00560A80">
        <w:rPr>
          <w:rFonts w:ascii="Times New Roman" w:hAnsi="Times New Roman"/>
          <w:sz w:val="24"/>
          <w:szCs w:val="24"/>
        </w:rPr>
        <w:t>,</w:t>
      </w:r>
      <w:r>
        <w:rPr>
          <w:rFonts w:ascii="Times New Roman" w:hAnsi="Times New Roman"/>
          <w:sz w:val="24"/>
          <w:szCs w:val="24"/>
        </w:rPr>
        <w:t xml:space="preserve"> </w:t>
      </w:r>
      <w:r w:rsidR="00560A80">
        <w:rPr>
          <w:rFonts w:ascii="Times New Roman" w:hAnsi="Times New Roman"/>
          <w:sz w:val="24"/>
          <w:szCs w:val="24"/>
        </w:rPr>
        <w:t>prin</w:t>
      </w:r>
      <w:r>
        <w:rPr>
          <w:rFonts w:ascii="Times New Roman" w:hAnsi="Times New Roman"/>
          <w:sz w:val="24"/>
          <w:szCs w:val="24"/>
        </w:rPr>
        <w:t xml:space="preserve"> intermediul</w:t>
      </w:r>
      <w:r w:rsidR="00560A80">
        <w:rPr>
          <w:rFonts w:ascii="Times New Roman" w:hAnsi="Times New Roman"/>
          <w:sz w:val="24"/>
          <w:szCs w:val="24"/>
        </w:rPr>
        <w:t xml:space="preserve">  administratorul</w:t>
      </w:r>
      <w:r>
        <w:rPr>
          <w:rFonts w:ascii="Times New Roman" w:hAnsi="Times New Roman"/>
          <w:sz w:val="24"/>
          <w:szCs w:val="24"/>
        </w:rPr>
        <w:t>ui</w:t>
      </w:r>
      <w:r w:rsidR="00560A80">
        <w:rPr>
          <w:rFonts w:ascii="Times New Roman" w:hAnsi="Times New Roman"/>
          <w:sz w:val="24"/>
          <w:szCs w:val="24"/>
        </w:rPr>
        <w:t xml:space="preserve"> SGR, p</w:t>
      </w:r>
      <w:r w:rsidR="007A7E95">
        <w:rPr>
          <w:rFonts w:ascii="Times New Roman" w:hAnsi="Times New Roman"/>
          <w:sz w:val="24"/>
          <w:szCs w:val="24"/>
        </w:rPr>
        <w:t>â</w:t>
      </w:r>
      <w:r w:rsidR="00560A80">
        <w:rPr>
          <w:rFonts w:ascii="Times New Roman" w:hAnsi="Times New Roman"/>
          <w:sz w:val="24"/>
          <w:szCs w:val="24"/>
        </w:rPr>
        <w:t>n</w:t>
      </w:r>
      <w:r w:rsidR="007A7E95">
        <w:rPr>
          <w:rFonts w:ascii="Times New Roman" w:hAnsi="Times New Roman"/>
          <w:sz w:val="24"/>
          <w:szCs w:val="24"/>
        </w:rPr>
        <w:t>ă</w:t>
      </w:r>
      <w:r w:rsidR="00560A80">
        <w:rPr>
          <w:rFonts w:ascii="Times New Roman" w:hAnsi="Times New Roman"/>
          <w:sz w:val="24"/>
          <w:szCs w:val="24"/>
        </w:rPr>
        <w:t xml:space="preserve"> la data de 25 ianuarie inclusiv, a anului urm</w:t>
      </w:r>
      <w:r w:rsidR="007A7E95">
        <w:rPr>
          <w:rFonts w:ascii="Times New Roman" w:hAnsi="Times New Roman"/>
          <w:sz w:val="24"/>
          <w:szCs w:val="24"/>
        </w:rPr>
        <w:t>ă</w:t>
      </w:r>
      <w:r w:rsidR="00560A80">
        <w:rPr>
          <w:rFonts w:ascii="Times New Roman" w:hAnsi="Times New Roman"/>
          <w:sz w:val="24"/>
          <w:szCs w:val="24"/>
        </w:rPr>
        <w:t>tor.</w:t>
      </w:r>
    </w:p>
    <w:p w14:paraId="421ABAE5" w14:textId="77777777" w:rsidR="00ED2C1C" w:rsidRDefault="00ED2C1C" w:rsidP="00ED2C1C">
      <w:pPr>
        <w:pStyle w:val="ListParagraph"/>
        <w:tabs>
          <w:tab w:val="left" w:pos="284"/>
        </w:tabs>
        <w:spacing w:after="0" w:line="360" w:lineRule="auto"/>
        <w:ind w:left="0"/>
        <w:rPr>
          <w:rFonts w:ascii="Times New Roman" w:hAnsi="Times New Roman"/>
          <w:b/>
          <w:sz w:val="24"/>
          <w:szCs w:val="24"/>
        </w:rPr>
      </w:pPr>
    </w:p>
    <w:p w14:paraId="53F91706" w14:textId="0B29F0CC" w:rsidR="007716CC" w:rsidRPr="004053FC" w:rsidRDefault="006863E0" w:rsidP="004053FC">
      <w:pPr>
        <w:tabs>
          <w:tab w:val="left" w:pos="284"/>
        </w:tabs>
        <w:spacing w:after="0" w:line="360" w:lineRule="auto"/>
        <w:ind w:left="0"/>
        <w:rPr>
          <w:rFonts w:ascii="Times New Roman" w:hAnsi="Times New Roman"/>
          <w:b/>
          <w:sz w:val="24"/>
          <w:szCs w:val="24"/>
        </w:rPr>
      </w:pPr>
      <w:r>
        <w:rPr>
          <w:rFonts w:ascii="Times New Roman" w:hAnsi="Times New Roman"/>
          <w:b/>
          <w:sz w:val="24"/>
          <w:szCs w:val="24"/>
        </w:rPr>
        <w:t xml:space="preserve">5. </w:t>
      </w:r>
      <w:r w:rsidR="0084732D" w:rsidRPr="004053FC">
        <w:rPr>
          <w:rFonts w:ascii="Times New Roman" w:hAnsi="Times New Roman"/>
          <w:b/>
          <w:sz w:val="24"/>
          <w:szCs w:val="24"/>
        </w:rPr>
        <w:t>La articolul 13,  alineatul (2</w:t>
      </w:r>
      <w:r w:rsidR="0084732D" w:rsidRPr="004053FC">
        <w:rPr>
          <w:rFonts w:ascii="Times New Roman" w:hAnsi="Times New Roman"/>
          <w:b/>
          <w:sz w:val="24"/>
          <w:szCs w:val="24"/>
          <w:vertAlign w:val="superscript"/>
        </w:rPr>
        <w:t>5</w:t>
      </w:r>
      <w:r w:rsidR="007716CC" w:rsidRPr="004053FC">
        <w:rPr>
          <w:rFonts w:ascii="Times New Roman" w:hAnsi="Times New Roman"/>
          <w:b/>
          <w:sz w:val="24"/>
          <w:szCs w:val="24"/>
        </w:rPr>
        <w:t>) se modifică și va avea următorul cuprins:</w:t>
      </w:r>
    </w:p>
    <w:p w14:paraId="7AEBB484" w14:textId="6663C233" w:rsidR="007716CC" w:rsidRPr="000F28B6" w:rsidRDefault="007716CC" w:rsidP="0010565E">
      <w:pPr>
        <w:tabs>
          <w:tab w:val="left" w:pos="284"/>
        </w:tabs>
        <w:spacing w:after="0" w:line="360" w:lineRule="auto"/>
        <w:ind w:left="0"/>
        <w:rPr>
          <w:rFonts w:ascii="Times New Roman" w:hAnsi="Times New Roman"/>
          <w:sz w:val="24"/>
          <w:szCs w:val="24"/>
        </w:rPr>
      </w:pPr>
      <w:r w:rsidRPr="000F28B6">
        <w:rPr>
          <w:rFonts w:ascii="Times New Roman" w:hAnsi="Times New Roman"/>
          <w:sz w:val="24"/>
          <w:szCs w:val="24"/>
        </w:rPr>
        <w:t>„</w:t>
      </w:r>
      <w:r w:rsidR="00071987" w:rsidRPr="000F28B6">
        <w:rPr>
          <w:rFonts w:ascii="Times New Roman" w:hAnsi="Times New Roman"/>
          <w:sz w:val="24"/>
          <w:szCs w:val="24"/>
        </w:rPr>
        <w:t>(2</w:t>
      </w:r>
      <w:r w:rsidR="00071987" w:rsidRPr="000F28B6">
        <w:rPr>
          <w:rFonts w:ascii="Times New Roman" w:hAnsi="Times New Roman"/>
          <w:sz w:val="24"/>
          <w:szCs w:val="24"/>
          <w:vertAlign w:val="superscript"/>
        </w:rPr>
        <w:t>5</w:t>
      </w:r>
      <w:r w:rsidR="00071987" w:rsidRPr="000F28B6">
        <w:rPr>
          <w:rFonts w:ascii="Times New Roman" w:hAnsi="Times New Roman"/>
          <w:sz w:val="24"/>
          <w:szCs w:val="24"/>
        </w:rPr>
        <w:t>)</w:t>
      </w:r>
      <w:r w:rsidR="00071987" w:rsidRPr="000F28B6">
        <w:rPr>
          <w:rFonts w:ascii="Times New Roman" w:hAnsi="Times New Roman"/>
          <w:b/>
          <w:sz w:val="24"/>
          <w:szCs w:val="24"/>
        </w:rPr>
        <w:t xml:space="preserve"> </w:t>
      </w:r>
      <w:r w:rsidRPr="000F28B6">
        <w:rPr>
          <w:rFonts w:ascii="Times New Roman" w:hAnsi="Times New Roman"/>
          <w:sz w:val="24"/>
          <w:szCs w:val="24"/>
        </w:rPr>
        <w:t>Sumele rezultate din aplicarea prevederilor art. 9 alin. (1) lit. c), v) și z) se utilizează pentru finanțarea dezvoltării infrastructurii gestionării deșeurilor în vederea atingerii obiectivelor naționale în domeniu, având la bază strategia stabilită de autoritatea publică centrală pentru protecția mediului.”</w:t>
      </w:r>
    </w:p>
    <w:p w14:paraId="17852BFB" w14:textId="77777777" w:rsidR="0010565E" w:rsidRPr="000F28B6" w:rsidRDefault="0010565E" w:rsidP="0010565E">
      <w:pPr>
        <w:tabs>
          <w:tab w:val="left" w:pos="284"/>
        </w:tabs>
        <w:spacing w:after="0" w:line="360" w:lineRule="auto"/>
        <w:ind w:left="0"/>
        <w:rPr>
          <w:rFonts w:ascii="Times New Roman" w:hAnsi="Times New Roman"/>
          <w:sz w:val="24"/>
          <w:szCs w:val="24"/>
        </w:rPr>
      </w:pPr>
    </w:p>
    <w:p w14:paraId="3F7917A0" w14:textId="06C60002" w:rsidR="007716CC" w:rsidRPr="004053FC" w:rsidRDefault="006863E0" w:rsidP="004053FC">
      <w:pPr>
        <w:tabs>
          <w:tab w:val="left" w:pos="284"/>
        </w:tabs>
        <w:spacing w:after="0" w:line="360" w:lineRule="auto"/>
        <w:ind w:left="0"/>
        <w:rPr>
          <w:rFonts w:ascii="Times New Roman" w:hAnsi="Times New Roman"/>
          <w:b/>
          <w:sz w:val="24"/>
          <w:szCs w:val="24"/>
        </w:rPr>
      </w:pPr>
      <w:r>
        <w:rPr>
          <w:rFonts w:ascii="Times New Roman" w:hAnsi="Times New Roman"/>
          <w:b/>
          <w:sz w:val="24"/>
          <w:szCs w:val="24"/>
        </w:rPr>
        <w:t xml:space="preserve">6. </w:t>
      </w:r>
      <w:r w:rsidR="007716CC" w:rsidRPr="004053FC">
        <w:rPr>
          <w:rFonts w:ascii="Times New Roman" w:hAnsi="Times New Roman"/>
          <w:b/>
          <w:sz w:val="24"/>
          <w:szCs w:val="24"/>
        </w:rPr>
        <w:t>Articolul 17 se modifică și va avea următorul cuprins:</w:t>
      </w:r>
    </w:p>
    <w:p w14:paraId="45F07A36" w14:textId="117C2525" w:rsidR="00FC73C5" w:rsidRDefault="007716CC" w:rsidP="00B62BB3">
      <w:pPr>
        <w:tabs>
          <w:tab w:val="left" w:pos="284"/>
        </w:tabs>
        <w:spacing w:line="360" w:lineRule="auto"/>
        <w:ind w:left="0"/>
        <w:rPr>
          <w:rFonts w:ascii="Times New Roman" w:hAnsi="Times New Roman"/>
          <w:sz w:val="24"/>
          <w:szCs w:val="24"/>
        </w:rPr>
      </w:pPr>
      <w:r w:rsidRPr="000F28B6">
        <w:rPr>
          <w:rFonts w:ascii="Times New Roman" w:hAnsi="Times New Roman"/>
          <w:sz w:val="24"/>
          <w:szCs w:val="24"/>
        </w:rPr>
        <w:t>„</w:t>
      </w:r>
      <w:r w:rsidR="003B36C4" w:rsidRPr="000F28B6">
        <w:rPr>
          <w:rFonts w:ascii="Times New Roman" w:hAnsi="Times New Roman"/>
          <w:sz w:val="24"/>
          <w:szCs w:val="24"/>
        </w:rPr>
        <w:t>Art. 17</w:t>
      </w:r>
      <w:r w:rsidR="00621EBC" w:rsidRPr="000F28B6">
        <w:rPr>
          <w:rFonts w:ascii="Times New Roman" w:hAnsi="Times New Roman"/>
          <w:sz w:val="24"/>
          <w:szCs w:val="24"/>
        </w:rPr>
        <w:t xml:space="preserve"> -</w:t>
      </w:r>
      <w:r w:rsidR="003B36C4" w:rsidRPr="000F28B6">
        <w:rPr>
          <w:rFonts w:ascii="Times New Roman" w:hAnsi="Times New Roman"/>
          <w:sz w:val="24"/>
          <w:szCs w:val="24"/>
        </w:rPr>
        <w:t xml:space="preserve"> </w:t>
      </w:r>
      <w:r w:rsidRPr="000F28B6">
        <w:rPr>
          <w:rFonts w:ascii="Times New Roman" w:hAnsi="Times New Roman"/>
          <w:sz w:val="24"/>
          <w:szCs w:val="24"/>
        </w:rPr>
        <w:t xml:space="preserve">Metodologia de calcul al contribuțiilor </w:t>
      </w:r>
      <w:r w:rsidR="0084732D" w:rsidRPr="000F28B6">
        <w:rPr>
          <w:rFonts w:ascii="Times New Roman" w:hAnsi="Times New Roman"/>
          <w:sz w:val="24"/>
          <w:szCs w:val="24"/>
        </w:rPr>
        <w:t>și</w:t>
      </w:r>
      <w:r w:rsidRPr="000F28B6">
        <w:rPr>
          <w:rFonts w:ascii="Times New Roman" w:hAnsi="Times New Roman"/>
          <w:sz w:val="24"/>
          <w:szCs w:val="24"/>
        </w:rPr>
        <w:t xml:space="preserve"> taxelor prevăzute la art. 9 alin. (1) lit. a)</w:t>
      </w:r>
      <w:r w:rsidR="00523CFB" w:rsidRPr="000F28B6">
        <w:rPr>
          <w:rFonts w:ascii="Times New Roman" w:hAnsi="Times New Roman"/>
          <w:sz w:val="24"/>
          <w:szCs w:val="24"/>
        </w:rPr>
        <w:t xml:space="preserve"> </w:t>
      </w:r>
      <w:r w:rsidRPr="000F28B6">
        <w:rPr>
          <w:rFonts w:ascii="Times New Roman" w:hAnsi="Times New Roman"/>
          <w:sz w:val="24"/>
          <w:szCs w:val="24"/>
        </w:rPr>
        <w:t>-</w:t>
      </w:r>
      <w:r w:rsidR="00523CFB" w:rsidRPr="000F28B6">
        <w:rPr>
          <w:rFonts w:ascii="Times New Roman" w:hAnsi="Times New Roman"/>
          <w:sz w:val="24"/>
          <w:szCs w:val="24"/>
        </w:rPr>
        <w:t xml:space="preserve"> </w:t>
      </w:r>
      <w:r w:rsidRPr="000F28B6">
        <w:rPr>
          <w:rFonts w:ascii="Times New Roman" w:hAnsi="Times New Roman"/>
          <w:sz w:val="24"/>
          <w:szCs w:val="24"/>
        </w:rPr>
        <w:t xml:space="preserve">f), i), j), p), q), s), </w:t>
      </w:r>
      <w:r w:rsidR="0084732D" w:rsidRPr="000F28B6">
        <w:rPr>
          <w:rFonts w:ascii="Times New Roman" w:hAnsi="Times New Roman"/>
          <w:sz w:val="24"/>
          <w:szCs w:val="24"/>
        </w:rPr>
        <w:t>ș</w:t>
      </w:r>
      <w:r w:rsidRPr="000F28B6">
        <w:rPr>
          <w:rFonts w:ascii="Times New Roman" w:hAnsi="Times New Roman"/>
          <w:sz w:val="24"/>
          <w:szCs w:val="24"/>
        </w:rPr>
        <w:t xml:space="preserve">), </w:t>
      </w:r>
      <w:r w:rsidR="0084732D" w:rsidRPr="000F28B6">
        <w:rPr>
          <w:rFonts w:ascii="Times New Roman" w:hAnsi="Times New Roman"/>
          <w:sz w:val="24"/>
          <w:szCs w:val="24"/>
        </w:rPr>
        <w:t>ț</w:t>
      </w:r>
      <w:r w:rsidRPr="000F28B6">
        <w:rPr>
          <w:rFonts w:ascii="Times New Roman" w:hAnsi="Times New Roman"/>
          <w:sz w:val="24"/>
          <w:szCs w:val="24"/>
        </w:rPr>
        <w:t>), v)</w:t>
      </w:r>
      <w:r w:rsidR="00523CFB" w:rsidRPr="000F28B6">
        <w:rPr>
          <w:rFonts w:ascii="Times New Roman" w:hAnsi="Times New Roman"/>
          <w:sz w:val="24"/>
          <w:szCs w:val="24"/>
        </w:rPr>
        <w:t xml:space="preserve"> </w:t>
      </w:r>
      <w:r w:rsidRPr="000F28B6">
        <w:rPr>
          <w:rFonts w:ascii="Times New Roman" w:hAnsi="Times New Roman"/>
          <w:sz w:val="24"/>
          <w:szCs w:val="24"/>
        </w:rPr>
        <w:t>-</w:t>
      </w:r>
      <w:r w:rsidR="00523CFB" w:rsidRPr="000F28B6">
        <w:rPr>
          <w:rFonts w:ascii="Times New Roman" w:hAnsi="Times New Roman"/>
          <w:sz w:val="24"/>
          <w:szCs w:val="24"/>
        </w:rPr>
        <w:t xml:space="preserve"> </w:t>
      </w:r>
      <w:r w:rsidRPr="000F28B6">
        <w:rPr>
          <w:rFonts w:ascii="Times New Roman" w:hAnsi="Times New Roman"/>
          <w:sz w:val="24"/>
          <w:szCs w:val="24"/>
        </w:rPr>
        <w:t>y) și z) se stabilește prin ordin al conducătorului autorității publice centrale pentru protecția mediului</w:t>
      </w:r>
      <w:r w:rsidR="006863E0">
        <w:rPr>
          <w:rFonts w:ascii="Times New Roman" w:hAnsi="Times New Roman"/>
          <w:sz w:val="24"/>
          <w:szCs w:val="24"/>
        </w:rPr>
        <w:t>.</w:t>
      </w:r>
      <w:r w:rsidRPr="000F28B6">
        <w:rPr>
          <w:rFonts w:ascii="Times New Roman" w:hAnsi="Times New Roman"/>
          <w:sz w:val="24"/>
          <w:szCs w:val="24"/>
        </w:rPr>
        <w:t>”</w:t>
      </w:r>
    </w:p>
    <w:p w14:paraId="3381A62C" w14:textId="77777777" w:rsidR="006863E0" w:rsidRPr="004053FC" w:rsidRDefault="006863E0" w:rsidP="004053FC">
      <w:pPr>
        <w:tabs>
          <w:tab w:val="left" w:pos="284"/>
        </w:tabs>
        <w:spacing w:line="360" w:lineRule="auto"/>
        <w:rPr>
          <w:rFonts w:ascii="Times New Roman" w:hAnsi="Times New Roman"/>
          <w:b/>
          <w:bCs/>
          <w:sz w:val="24"/>
          <w:szCs w:val="24"/>
        </w:rPr>
      </w:pPr>
    </w:p>
    <w:p w14:paraId="26ACA658" w14:textId="77777777" w:rsidR="00071987" w:rsidRPr="000F28B6" w:rsidRDefault="00071987" w:rsidP="00071987">
      <w:pPr>
        <w:tabs>
          <w:tab w:val="left" w:pos="284"/>
        </w:tabs>
        <w:spacing w:line="360" w:lineRule="auto"/>
        <w:ind w:left="360"/>
        <w:rPr>
          <w:rFonts w:ascii="Times New Roman" w:hAnsi="Times New Roman"/>
          <w:sz w:val="24"/>
          <w:szCs w:val="24"/>
        </w:rPr>
      </w:pPr>
    </w:p>
    <w:p w14:paraId="32211D58" w14:textId="33419EB7" w:rsidR="009A0FA1" w:rsidRPr="004053FC" w:rsidRDefault="009A0FA1" w:rsidP="009A0FA1">
      <w:pPr>
        <w:tabs>
          <w:tab w:val="left" w:pos="284"/>
        </w:tabs>
        <w:spacing w:line="360" w:lineRule="auto"/>
        <w:ind w:left="0"/>
        <w:rPr>
          <w:rFonts w:ascii="Times New Roman" w:hAnsi="Times New Roman"/>
          <w:b/>
          <w:sz w:val="24"/>
          <w:szCs w:val="24"/>
        </w:rPr>
      </w:pPr>
      <w:r w:rsidRPr="000F28B6">
        <w:rPr>
          <w:rFonts w:ascii="Times New Roman" w:hAnsi="Times New Roman"/>
          <w:b/>
          <w:bCs/>
          <w:sz w:val="24"/>
          <w:szCs w:val="24"/>
          <w:lang w:val="en-US"/>
        </w:rPr>
        <w:t xml:space="preserve">Art. </w:t>
      </w:r>
      <w:r w:rsidR="008C39C4" w:rsidRPr="000F28B6">
        <w:rPr>
          <w:rFonts w:ascii="Times New Roman" w:hAnsi="Times New Roman"/>
          <w:b/>
          <w:bCs/>
          <w:sz w:val="24"/>
          <w:szCs w:val="24"/>
          <w:lang w:val="en-US"/>
        </w:rPr>
        <w:t>II</w:t>
      </w:r>
      <w:r w:rsidR="0047389E">
        <w:rPr>
          <w:rFonts w:ascii="Times New Roman" w:hAnsi="Times New Roman"/>
          <w:b/>
          <w:sz w:val="24"/>
          <w:szCs w:val="24"/>
        </w:rPr>
        <w:t xml:space="preserve">. - </w:t>
      </w:r>
      <w:r w:rsidRPr="004053FC">
        <w:rPr>
          <w:rFonts w:ascii="Times New Roman" w:hAnsi="Times New Roman"/>
          <w:b/>
          <w:sz w:val="24"/>
          <w:szCs w:val="24"/>
        </w:rPr>
        <w:t xml:space="preserve">Ordonanţa </w:t>
      </w:r>
      <w:r w:rsidR="008D70AE" w:rsidRPr="004053FC">
        <w:rPr>
          <w:rFonts w:ascii="Times New Roman" w:hAnsi="Times New Roman"/>
          <w:b/>
          <w:sz w:val="24"/>
          <w:szCs w:val="24"/>
        </w:rPr>
        <w:t xml:space="preserve">Guvernului </w:t>
      </w:r>
      <w:r w:rsidRPr="004053FC">
        <w:rPr>
          <w:rFonts w:ascii="Times New Roman" w:hAnsi="Times New Roman"/>
          <w:b/>
          <w:sz w:val="24"/>
          <w:szCs w:val="24"/>
        </w:rPr>
        <w:t>nr. 2/2021 privind depozitarea deşeurilor, publicată în Monitorul Oficial, Partea I</w:t>
      </w:r>
      <w:r w:rsidR="00290733">
        <w:rPr>
          <w:rFonts w:ascii="Times New Roman" w:hAnsi="Times New Roman"/>
          <w:b/>
          <w:sz w:val="24"/>
          <w:szCs w:val="24"/>
        </w:rPr>
        <w:t>,</w:t>
      </w:r>
      <w:r w:rsidRPr="004053FC">
        <w:rPr>
          <w:rFonts w:ascii="Times New Roman" w:hAnsi="Times New Roman"/>
          <w:b/>
          <w:sz w:val="24"/>
          <w:szCs w:val="24"/>
        </w:rPr>
        <w:t xml:space="preserve"> nr. 794 din 18 august 2021, se modifică și se completează după cum urmează:</w:t>
      </w:r>
    </w:p>
    <w:p w14:paraId="748CD5DE" w14:textId="7AEEA39C" w:rsidR="009A0FA1" w:rsidRPr="004053FC" w:rsidRDefault="000960FD" w:rsidP="004053FC">
      <w:pPr>
        <w:tabs>
          <w:tab w:val="left" w:pos="284"/>
        </w:tabs>
        <w:spacing w:line="360" w:lineRule="auto"/>
        <w:ind w:left="0"/>
        <w:rPr>
          <w:rFonts w:ascii="Times New Roman" w:hAnsi="Times New Roman"/>
          <w:b/>
          <w:bCs/>
          <w:sz w:val="24"/>
          <w:szCs w:val="24"/>
        </w:rPr>
      </w:pPr>
      <w:r>
        <w:rPr>
          <w:rFonts w:ascii="Times New Roman" w:hAnsi="Times New Roman"/>
          <w:b/>
          <w:bCs/>
          <w:sz w:val="24"/>
          <w:szCs w:val="24"/>
        </w:rPr>
        <w:t xml:space="preserve">1. </w:t>
      </w:r>
      <w:r w:rsidR="00506342" w:rsidRPr="004053FC">
        <w:rPr>
          <w:rFonts w:ascii="Times New Roman" w:hAnsi="Times New Roman"/>
          <w:b/>
          <w:bCs/>
          <w:sz w:val="24"/>
          <w:szCs w:val="24"/>
        </w:rPr>
        <w:t>La a</w:t>
      </w:r>
      <w:r w:rsidR="009A0FA1" w:rsidRPr="004053FC">
        <w:rPr>
          <w:rFonts w:ascii="Times New Roman" w:hAnsi="Times New Roman"/>
          <w:b/>
          <w:bCs/>
          <w:sz w:val="24"/>
          <w:szCs w:val="24"/>
        </w:rPr>
        <w:t>rticolul 38</w:t>
      </w:r>
      <w:r w:rsidR="00506342" w:rsidRPr="004053FC">
        <w:rPr>
          <w:rFonts w:ascii="Times New Roman" w:hAnsi="Times New Roman"/>
          <w:b/>
          <w:bCs/>
          <w:sz w:val="24"/>
          <w:szCs w:val="24"/>
        </w:rPr>
        <w:t>, după alineatul (1) se introduce un nou alineat, alineatul (2)</w:t>
      </w:r>
      <w:r w:rsidR="00A359B4">
        <w:rPr>
          <w:rFonts w:ascii="Times New Roman" w:hAnsi="Times New Roman"/>
          <w:b/>
          <w:bCs/>
          <w:sz w:val="24"/>
          <w:szCs w:val="24"/>
        </w:rPr>
        <w:t>,</w:t>
      </w:r>
      <w:r w:rsidR="00506342" w:rsidRPr="004053FC">
        <w:rPr>
          <w:rFonts w:ascii="Times New Roman" w:hAnsi="Times New Roman"/>
          <w:b/>
          <w:bCs/>
          <w:sz w:val="24"/>
          <w:szCs w:val="24"/>
        </w:rPr>
        <w:t xml:space="preserve"> cu </w:t>
      </w:r>
      <w:r w:rsidR="008D70AE" w:rsidRPr="004053FC">
        <w:rPr>
          <w:rFonts w:ascii="Times New Roman" w:hAnsi="Times New Roman"/>
          <w:b/>
          <w:bCs/>
          <w:sz w:val="24"/>
          <w:szCs w:val="24"/>
        </w:rPr>
        <w:t>următorul cuprins</w:t>
      </w:r>
      <w:r w:rsidR="009A0FA1" w:rsidRPr="004053FC">
        <w:rPr>
          <w:rFonts w:ascii="Times New Roman" w:hAnsi="Times New Roman"/>
          <w:b/>
          <w:bCs/>
          <w:sz w:val="24"/>
          <w:szCs w:val="24"/>
        </w:rPr>
        <w:t>:</w:t>
      </w:r>
    </w:p>
    <w:p w14:paraId="1547267F" w14:textId="697DE2DF" w:rsidR="008D70AE" w:rsidRPr="000F28B6" w:rsidRDefault="008D70AE" w:rsidP="009A0FA1">
      <w:pPr>
        <w:tabs>
          <w:tab w:val="left" w:pos="284"/>
        </w:tabs>
        <w:spacing w:line="360" w:lineRule="auto"/>
        <w:ind w:left="0"/>
        <w:rPr>
          <w:rFonts w:ascii="Times New Roman" w:hAnsi="Times New Roman"/>
          <w:sz w:val="24"/>
          <w:szCs w:val="24"/>
        </w:rPr>
      </w:pPr>
      <w:r>
        <w:rPr>
          <w:rFonts w:ascii="Times New Roman" w:hAnsi="Times New Roman"/>
          <w:sz w:val="24"/>
          <w:szCs w:val="24"/>
        </w:rPr>
        <w:t>„</w:t>
      </w:r>
      <w:r w:rsidR="009A0FA1" w:rsidRPr="000F28B6">
        <w:rPr>
          <w:rFonts w:ascii="Times New Roman" w:hAnsi="Times New Roman"/>
          <w:sz w:val="24"/>
          <w:szCs w:val="24"/>
        </w:rPr>
        <w:t xml:space="preserve">(2) Actualizarea </w:t>
      </w:r>
      <w:r>
        <w:rPr>
          <w:rFonts w:ascii="Times New Roman" w:hAnsi="Times New Roman"/>
          <w:sz w:val="24"/>
          <w:szCs w:val="24"/>
        </w:rPr>
        <w:t>a</w:t>
      </w:r>
      <w:r w:rsidRPr="000F28B6">
        <w:rPr>
          <w:rFonts w:ascii="Times New Roman" w:hAnsi="Times New Roman"/>
          <w:sz w:val="24"/>
          <w:szCs w:val="24"/>
        </w:rPr>
        <w:t xml:space="preserve">nexei </w:t>
      </w:r>
      <w:r w:rsidR="009A0FA1" w:rsidRPr="000F28B6">
        <w:rPr>
          <w:rFonts w:ascii="Times New Roman" w:hAnsi="Times New Roman"/>
          <w:sz w:val="24"/>
          <w:szCs w:val="24"/>
        </w:rPr>
        <w:t>nr. 5 se face prin ordin al ministrului mediului, apelor şi pădurilor, ori de câte ori autoritatea publică centrală pentru protecţia mediului apreciază ca fiind necesar.</w:t>
      </w:r>
      <w:r>
        <w:rPr>
          <w:rFonts w:ascii="Times New Roman" w:hAnsi="Times New Roman"/>
          <w:sz w:val="24"/>
          <w:szCs w:val="24"/>
        </w:rPr>
        <w:t>”</w:t>
      </w:r>
    </w:p>
    <w:p w14:paraId="5505B76B" w14:textId="1B6D5FC7" w:rsidR="009A0FA1" w:rsidRPr="004053FC" w:rsidRDefault="000960FD" w:rsidP="004053FC">
      <w:pPr>
        <w:tabs>
          <w:tab w:val="left" w:pos="284"/>
        </w:tabs>
        <w:spacing w:line="360" w:lineRule="auto"/>
        <w:ind w:left="0"/>
        <w:rPr>
          <w:rFonts w:ascii="Times New Roman" w:hAnsi="Times New Roman"/>
          <w:b/>
          <w:bCs/>
          <w:sz w:val="24"/>
          <w:szCs w:val="24"/>
        </w:rPr>
      </w:pPr>
      <w:r>
        <w:rPr>
          <w:rFonts w:ascii="Times New Roman" w:hAnsi="Times New Roman"/>
          <w:b/>
          <w:bCs/>
          <w:sz w:val="24"/>
          <w:szCs w:val="24"/>
        </w:rPr>
        <w:t xml:space="preserve">2. </w:t>
      </w:r>
      <w:r w:rsidR="008D70AE" w:rsidRPr="004053FC">
        <w:rPr>
          <w:rFonts w:ascii="Times New Roman" w:hAnsi="Times New Roman"/>
          <w:b/>
          <w:bCs/>
          <w:sz w:val="24"/>
          <w:szCs w:val="24"/>
        </w:rPr>
        <w:t>La a</w:t>
      </w:r>
      <w:r w:rsidR="009A0FA1" w:rsidRPr="004053FC">
        <w:rPr>
          <w:rFonts w:ascii="Times New Roman" w:hAnsi="Times New Roman"/>
          <w:b/>
          <w:bCs/>
          <w:sz w:val="24"/>
          <w:szCs w:val="24"/>
        </w:rPr>
        <w:t>nexa nr. 5, tabelele 5.1, 5.3 și 5.4, se modifică</w:t>
      </w:r>
      <w:r w:rsidR="008D70AE" w:rsidRPr="004053FC">
        <w:rPr>
          <w:rFonts w:ascii="Times New Roman" w:hAnsi="Times New Roman"/>
          <w:b/>
          <w:bCs/>
          <w:sz w:val="24"/>
          <w:szCs w:val="24"/>
        </w:rPr>
        <w:t xml:space="preserve"> și vor avea următorul cuprins</w:t>
      </w:r>
      <w:r w:rsidR="009A0FA1" w:rsidRPr="004053FC">
        <w:rPr>
          <w:rFonts w:ascii="Times New Roman" w:hAnsi="Times New Roman"/>
          <w:b/>
          <w:bCs/>
          <w:sz w:val="24"/>
          <w:szCs w:val="24"/>
          <w:lang w:val="en-GB"/>
        </w:rPr>
        <w:t>:</w:t>
      </w:r>
    </w:p>
    <w:p w14:paraId="575A7131" w14:textId="6170A9BC" w:rsidR="009A0FA1" w:rsidRPr="000F28B6" w:rsidRDefault="008D70AE" w:rsidP="009A0FA1">
      <w:pPr>
        <w:tabs>
          <w:tab w:val="left" w:pos="284"/>
        </w:tabs>
        <w:spacing w:line="360" w:lineRule="auto"/>
        <w:ind w:left="0"/>
        <w:rPr>
          <w:rFonts w:ascii="Times New Roman" w:hAnsi="Times New Roman"/>
          <w:sz w:val="24"/>
          <w:szCs w:val="24"/>
        </w:rPr>
      </w:pPr>
      <w:r>
        <w:rPr>
          <w:rFonts w:ascii="Times New Roman" w:hAnsi="Times New Roman"/>
          <w:sz w:val="24"/>
          <w:szCs w:val="24"/>
        </w:rPr>
        <w:t xml:space="preserve">„ </w:t>
      </w:r>
      <w:r w:rsidR="009A0FA1" w:rsidRPr="000F28B6">
        <w:rPr>
          <w:rFonts w:ascii="Times New Roman" w:hAnsi="Times New Roman"/>
          <w:sz w:val="24"/>
          <w:szCs w:val="24"/>
        </w:rPr>
        <w:t xml:space="preserve">Tabelul 5.1 </w:t>
      </w:r>
    </w:p>
    <w:p w14:paraId="43B53F2A" w14:textId="77777777" w:rsidR="009A0FA1" w:rsidRPr="000F28B6" w:rsidRDefault="009A0FA1" w:rsidP="009A0FA1">
      <w:pPr>
        <w:tabs>
          <w:tab w:val="left" w:pos="284"/>
        </w:tabs>
        <w:spacing w:line="360" w:lineRule="auto"/>
        <w:ind w:left="0"/>
        <w:rPr>
          <w:rFonts w:ascii="Times New Roman" w:hAnsi="Times New Roman"/>
          <w:sz w:val="24"/>
          <w:szCs w:val="24"/>
        </w:rPr>
      </w:pPr>
      <w:r w:rsidRPr="000F28B6">
        <w:rPr>
          <w:rFonts w:ascii="Times New Roman" w:hAnsi="Times New Roman"/>
          <w:sz w:val="24"/>
          <w:szCs w:val="24"/>
        </w:rPr>
        <w:t>Depozite neconforme clasa "b" din zona urbană care au sistat depozitarea conform anilor înscrişi în tabel</w:t>
      </w:r>
      <w:r w:rsidRPr="000F28B6">
        <w:rPr>
          <w:rFonts w:ascii="Times New Roman" w:hAnsi="Times New Roman"/>
          <w:sz w:val="24"/>
          <w:szCs w:val="24"/>
          <w:vertAlign w:val="superscript"/>
        </w:rPr>
        <w:t>1</w:t>
      </w:r>
    </w:p>
    <w:p w14:paraId="1B450A59" w14:textId="77777777" w:rsidR="009A0FA1" w:rsidRPr="000F28B6" w:rsidRDefault="009A0FA1" w:rsidP="009A0FA1">
      <w:pPr>
        <w:tabs>
          <w:tab w:val="left" w:pos="284"/>
        </w:tabs>
        <w:spacing w:line="360" w:lineRule="auto"/>
        <w:ind w:left="0"/>
        <w:rPr>
          <w:rFonts w:ascii="Times New Roman" w:hAnsi="Times New Roman"/>
          <w:sz w:val="24"/>
          <w:szCs w:val="24"/>
        </w:rPr>
      </w:pPr>
      <w:r w:rsidRPr="000F28B6">
        <w:rPr>
          <w:rFonts w:ascii="Times New Roman" w:hAnsi="Times New Roman"/>
          <w:sz w:val="24"/>
          <w:szCs w:val="24"/>
          <w:vertAlign w:val="superscript"/>
        </w:rPr>
        <w:t>1</w:t>
      </w:r>
      <w:r w:rsidRPr="000F28B6">
        <w:rPr>
          <w:rFonts w:ascii="Times New Roman" w:hAnsi="Times New Roman"/>
          <w:sz w:val="24"/>
          <w:szCs w:val="24"/>
        </w:rPr>
        <w:t xml:space="preserve"> Depozite care fac obiectul Hotărârii Curţii de Justiţie a Uniunii Europene din 18 octombrie 2018</w:t>
      </w:r>
    </w:p>
    <w:tbl>
      <w:tblPr>
        <w:tblW w:w="5850" w:type="dxa"/>
        <w:jc w:val="center"/>
        <w:tblCellMar>
          <w:top w:w="15" w:type="dxa"/>
          <w:left w:w="15" w:type="dxa"/>
          <w:bottom w:w="15" w:type="dxa"/>
          <w:right w:w="15" w:type="dxa"/>
        </w:tblCellMar>
        <w:tblLook w:val="04A0" w:firstRow="1" w:lastRow="0" w:firstColumn="1" w:lastColumn="0" w:noHBand="0" w:noVBand="1"/>
      </w:tblPr>
      <w:tblGrid>
        <w:gridCol w:w="20"/>
        <w:gridCol w:w="970"/>
        <w:gridCol w:w="2700"/>
        <w:gridCol w:w="2160"/>
      </w:tblGrid>
      <w:tr w:rsidR="009A0FA1" w:rsidRPr="000F28B6" w14:paraId="2430A758" w14:textId="77777777" w:rsidTr="00E63511">
        <w:trPr>
          <w:trHeight w:val="12"/>
          <w:jc w:val="center"/>
        </w:trPr>
        <w:tc>
          <w:tcPr>
            <w:tcW w:w="20" w:type="dxa"/>
            <w:tcMar>
              <w:top w:w="0" w:type="dxa"/>
              <w:left w:w="0" w:type="dxa"/>
              <w:bottom w:w="0" w:type="dxa"/>
              <w:right w:w="0" w:type="dxa"/>
            </w:tcMar>
            <w:hideMark/>
          </w:tcPr>
          <w:p w14:paraId="42AAB4E0" w14:textId="77777777" w:rsidR="009A0FA1" w:rsidRPr="000F28B6" w:rsidRDefault="009A0FA1" w:rsidP="00E5506A">
            <w:pPr>
              <w:tabs>
                <w:tab w:val="left" w:pos="284"/>
              </w:tabs>
              <w:spacing w:line="360" w:lineRule="auto"/>
              <w:ind w:left="0"/>
              <w:rPr>
                <w:rFonts w:ascii="Times New Roman" w:hAnsi="Times New Roman"/>
                <w:b/>
                <w:bCs/>
                <w:sz w:val="24"/>
                <w:szCs w:val="24"/>
                <w:lang w:val="en-US"/>
              </w:rPr>
            </w:pPr>
          </w:p>
        </w:tc>
        <w:tc>
          <w:tcPr>
            <w:tcW w:w="970" w:type="dxa"/>
            <w:hideMark/>
          </w:tcPr>
          <w:p w14:paraId="29E9C639" w14:textId="77777777" w:rsidR="009A0FA1" w:rsidRPr="000F28B6" w:rsidRDefault="009A0FA1" w:rsidP="00E5506A">
            <w:pPr>
              <w:tabs>
                <w:tab w:val="left" w:pos="284"/>
              </w:tabs>
              <w:spacing w:line="360" w:lineRule="auto"/>
              <w:ind w:left="0"/>
              <w:rPr>
                <w:rFonts w:ascii="Times New Roman" w:hAnsi="Times New Roman"/>
                <w:sz w:val="24"/>
                <w:szCs w:val="24"/>
                <w:lang w:val="en-US"/>
              </w:rPr>
            </w:pPr>
          </w:p>
        </w:tc>
        <w:tc>
          <w:tcPr>
            <w:tcW w:w="2700" w:type="dxa"/>
            <w:hideMark/>
          </w:tcPr>
          <w:p w14:paraId="0866522D" w14:textId="77777777" w:rsidR="009A0FA1" w:rsidRPr="000F28B6" w:rsidRDefault="009A0FA1" w:rsidP="00E5506A">
            <w:pPr>
              <w:tabs>
                <w:tab w:val="left" w:pos="284"/>
              </w:tabs>
              <w:spacing w:line="360" w:lineRule="auto"/>
              <w:ind w:left="0"/>
              <w:rPr>
                <w:rFonts w:ascii="Times New Roman" w:hAnsi="Times New Roman"/>
                <w:sz w:val="24"/>
                <w:szCs w:val="24"/>
                <w:lang w:val="en-US"/>
              </w:rPr>
            </w:pPr>
          </w:p>
        </w:tc>
        <w:tc>
          <w:tcPr>
            <w:tcW w:w="2160" w:type="dxa"/>
            <w:hideMark/>
          </w:tcPr>
          <w:p w14:paraId="586B372D" w14:textId="77777777" w:rsidR="009A0FA1" w:rsidRPr="000F28B6" w:rsidRDefault="009A0FA1" w:rsidP="00E5506A">
            <w:pPr>
              <w:tabs>
                <w:tab w:val="left" w:pos="284"/>
              </w:tabs>
              <w:spacing w:line="360" w:lineRule="auto"/>
              <w:ind w:left="0"/>
              <w:rPr>
                <w:rFonts w:ascii="Times New Roman" w:hAnsi="Times New Roman"/>
                <w:sz w:val="24"/>
                <w:szCs w:val="24"/>
                <w:lang w:val="en-US"/>
              </w:rPr>
            </w:pPr>
          </w:p>
        </w:tc>
      </w:tr>
      <w:tr w:rsidR="009A0FA1" w:rsidRPr="000F28B6" w14:paraId="350C9A0F" w14:textId="77777777" w:rsidTr="00E63511">
        <w:trPr>
          <w:trHeight w:val="411"/>
          <w:jc w:val="center"/>
        </w:trPr>
        <w:tc>
          <w:tcPr>
            <w:tcW w:w="20" w:type="dxa"/>
            <w:tcMar>
              <w:top w:w="0" w:type="dxa"/>
              <w:left w:w="0" w:type="dxa"/>
              <w:bottom w:w="0" w:type="dxa"/>
              <w:right w:w="0" w:type="dxa"/>
            </w:tcMar>
            <w:hideMark/>
          </w:tcPr>
          <w:p w14:paraId="7990A751" w14:textId="77777777" w:rsidR="009A0FA1" w:rsidRPr="000F28B6" w:rsidRDefault="009A0FA1" w:rsidP="00E5506A">
            <w:pPr>
              <w:tabs>
                <w:tab w:val="left" w:pos="284"/>
              </w:tabs>
              <w:spacing w:line="360" w:lineRule="auto"/>
              <w:ind w:left="0"/>
              <w:rPr>
                <w:rFonts w:ascii="Times New Roman" w:hAnsi="Times New Roman"/>
                <w:sz w:val="24"/>
                <w:szCs w:val="24"/>
                <w:lang w:val="en-US"/>
              </w:rPr>
            </w:pPr>
          </w:p>
        </w:tc>
        <w:tc>
          <w:tcPr>
            <w:tcW w:w="970" w:type="dxa"/>
            <w:tcBorders>
              <w:top w:val="single" w:sz="6" w:space="0" w:color="333333"/>
              <w:left w:val="single" w:sz="6" w:space="0" w:color="333333"/>
              <w:bottom w:val="single" w:sz="6" w:space="0" w:color="333333"/>
              <w:right w:val="single" w:sz="6" w:space="0" w:color="333333"/>
            </w:tcBorders>
            <w:hideMark/>
          </w:tcPr>
          <w:p w14:paraId="3D6FD226" w14:textId="77777777" w:rsidR="009A0FA1" w:rsidRPr="000F28B6" w:rsidRDefault="009A0FA1" w:rsidP="00E5506A">
            <w:pPr>
              <w:tabs>
                <w:tab w:val="left" w:pos="284"/>
              </w:tabs>
              <w:spacing w:line="360" w:lineRule="auto"/>
              <w:ind w:left="0"/>
              <w:rPr>
                <w:rFonts w:ascii="Times New Roman" w:hAnsi="Times New Roman"/>
                <w:sz w:val="24"/>
                <w:szCs w:val="24"/>
                <w:lang w:val="en-US"/>
              </w:rPr>
            </w:pPr>
            <w:proofErr w:type="spellStart"/>
            <w:r w:rsidRPr="000F28B6">
              <w:rPr>
                <w:rFonts w:ascii="Times New Roman" w:hAnsi="Times New Roman"/>
                <w:sz w:val="24"/>
                <w:szCs w:val="24"/>
                <w:lang w:val="en-US"/>
              </w:rPr>
              <w:t>Judeţ</w:t>
            </w:r>
            <w:proofErr w:type="spellEnd"/>
          </w:p>
        </w:tc>
        <w:tc>
          <w:tcPr>
            <w:tcW w:w="2700" w:type="dxa"/>
            <w:tcBorders>
              <w:top w:val="single" w:sz="6" w:space="0" w:color="333333"/>
              <w:left w:val="single" w:sz="6" w:space="0" w:color="333333"/>
              <w:bottom w:val="single" w:sz="6" w:space="0" w:color="333333"/>
              <w:right w:val="single" w:sz="6" w:space="0" w:color="333333"/>
            </w:tcBorders>
            <w:hideMark/>
          </w:tcPr>
          <w:p w14:paraId="05DDE23C" w14:textId="77777777" w:rsidR="009A0FA1" w:rsidRPr="000F28B6" w:rsidRDefault="009A0FA1" w:rsidP="00E5506A">
            <w:pPr>
              <w:tabs>
                <w:tab w:val="left" w:pos="284"/>
              </w:tabs>
              <w:spacing w:line="360" w:lineRule="auto"/>
              <w:ind w:left="0"/>
              <w:rPr>
                <w:rFonts w:ascii="Times New Roman" w:hAnsi="Times New Roman"/>
                <w:sz w:val="24"/>
                <w:szCs w:val="24"/>
                <w:lang w:val="en-US"/>
              </w:rPr>
            </w:pPr>
            <w:proofErr w:type="spellStart"/>
            <w:r w:rsidRPr="000F28B6">
              <w:rPr>
                <w:rFonts w:ascii="Times New Roman" w:hAnsi="Times New Roman"/>
                <w:sz w:val="24"/>
                <w:szCs w:val="24"/>
                <w:lang w:val="en-US"/>
              </w:rPr>
              <w:t>Nume</w:t>
            </w:r>
            <w:proofErr w:type="spellEnd"/>
            <w:r w:rsidRPr="000F28B6">
              <w:rPr>
                <w:rFonts w:ascii="Times New Roman" w:hAnsi="Times New Roman"/>
                <w:sz w:val="24"/>
                <w:szCs w:val="24"/>
                <w:lang w:val="en-US"/>
              </w:rPr>
              <w:t xml:space="preserve"> </w:t>
            </w:r>
            <w:proofErr w:type="spellStart"/>
            <w:r w:rsidRPr="000F28B6">
              <w:rPr>
                <w:rFonts w:ascii="Times New Roman" w:hAnsi="Times New Roman"/>
                <w:sz w:val="24"/>
                <w:szCs w:val="24"/>
                <w:lang w:val="en-US"/>
              </w:rPr>
              <w:t>depozit</w:t>
            </w:r>
            <w:proofErr w:type="spellEnd"/>
            <w:r w:rsidRPr="000F28B6">
              <w:rPr>
                <w:rFonts w:ascii="Times New Roman" w:hAnsi="Times New Roman"/>
                <w:sz w:val="24"/>
                <w:szCs w:val="24"/>
                <w:lang w:val="en-US"/>
              </w:rPr>
              <w:t xml:space="preserve">/ </w:t>
            </w:r>
            <w:proofErr w:type="spellStart"/>
            <w:r w:rsidRPr="000F28B6">
              <w:rPr>
                <w:rFonts w:ascii="Times New Roman" w:hAnsi="Times New Roman"/>
                <w:sz w:val="24"/>
                <w:szCs w:val="24"/>
                <w:lang w:val="en-US"/>
              </w:rPr>
              <w:t>Localizare</w:t>
            </w:r>
            <w:proofErr w:type="spellEnd"/>
          </w:p>
        </w:tc>
        <w:tc>
          <w:tcPr>
            <w:tcW w:w="2160" w:type="dxa"/>
            <w:tcBorders>
              <w:top w:val="single" w:sz="6" w:space="0" w:color="333333"/>
              <w:left w:val="single" w:sz="6" w:space="0" w:color="333333"/>
              <w:bottom w:val="single" w:sz="6" w:space="0" w:color="333333"/>
              <w:right w:val="single" w:sz="6" w:space="0" w:color="333333"/>
            </w:tcBorders>
            <w:hideMark/>
          </w:tcPr>
          <w:p w14:paraId="2C3CD6E3" w14:textId="77777777" w:rsidR="009A0FA1" w:rsidRPr="000F28B6" w:rsidRDefault="009A0FA1" w:rsidP="003931CE">
            <w:pPr>
              <w:tabs>
                <w:tab w:val="left" w:pos="197"/>
              </w:tabs>
              <w:spacing w:line="360" w:lineRule="auto"/>
              <w:ind w:left="0"/>
              <w:rPr>
                <w:rFonts w:ascii="Times New Roman" w:hAnsi="Times New Roman"/>
                <w:sz w:val="24"/>
                <w:szCs w:val="24"/>
                <w:lang w:val="en-US"/>
              </w:rPr>
            </w:pPr>
            <w:r w:rsidRPr="000F28B6">
              <w:rPr>
                <w:rFonts w:ascii="Times New Roman" w:hAnsi="Times New Roman"/>
                <w:sz w:val="24"/>
                <w:szCs w:val="24"/>
                <w:lang w:val="en-US"/>
              </w:rPr>
              <w:t xml:space="preserve">An </w:t>
            </w:r>
            <w:proofErr w:type="spellStart"/>
            <w:r w:rsidRPr="000F28B6">
              <w:rPr>
                <w:rFonts w:ascii="Times New Roman" w:hAnsi="Times New Roman"/>
                <w:sz w:val="24"/>
                <w:szCs w:val="24"/>
                <w:lang w:val="en-US"/>
              </w:rPr>
              <w:t>sistare</w:t>
            </w:r>
            <w:proofErr w:type="spellEnd"/>
            <w:r w:rsidRPr="000F28B6">
              <w:rPr>
                <w:rFonts w:ascii="Times New Roman" w:hAnsi="Times New Roman"/>
                <w:sz w:val="24"/>
                <w:szCs w:val="24"/>
                <w:lang w:val="en-US"/>
              </w:rPr>
              <w:t xml:space="preserve"> </w:t>
            </w:r>
            <w:proofErr w:type="spellStart"/>
            <w:r w:rsidRPr="000F28B6">
              <w:rPr>
                <w:rFonts w:ascii="Times New Roman" w:hAnsi="Times New Roman"/>
                <w:sz w:val="24"/>
                <w:szCs w:val="24"/>
                <w:lang w:val="en-US"/>
              </w:rPr>
              <w:t>depozitare</w:t>
            </w:r>
            <w:proofErr w:type="spellEnd"/>
          </w:p>
        </w:tc>
      </w:tr>
      <w:tr w:rsidR="009A0FA1" w:rsidRPr="000F28B6" w14:paraId="4BDA1A06" w14:textId="77777777" w:rsidTr="00E63511">
        <w:trPr>
          <w:trHeight w:val="276"/>
          <w:jc w:val="center"/>
        </w:trPr>
        <w:tc>
          <w:tcPr>
            <w:tcW w:w="20" w:type="dxa"/>
            <w:tcMar>
              <w:top w:w="0" w:type="dxa"/>
              <w:left w:w="0" w:type="dxa"/>
              <w:bottom w:w="0" w:type="dxa"/>
              <w:right w:w="0" w:type="dxa"/>
            </w:tcMar>
            <w:hideMark/>
          </w:tcPr>
          <w:p w14:paraId="3F7EF1E3" w14:textId="77777777" w:rsidR="009A0FA1" w:rsidRPr="000F28B6" w:rsidRDefault="009A0FA1" w:rsidP="00E5506A">
            <w:pPr>
              <w:tabs>
                <w:tab w:val="left" w:pos="284"/>
              </w:tabs>
              <w:spacing w:line="360" w:lineRule="auto"/>
              <w:ind w:left="0"/>
              <w:rPr>
                <w:rFonts w:ascii="Times New Roman" w:hAnsi="Times New Roman"/>
                <w:sz w:val="24"/>
                <w:szCs w:val="24"/>
                <w:lang w:val="en-US"/>
              </w:rPr>
            </w:pPr>
          </w:p>
        </w:tc>
        <w:tc>
          <w:tcPr>
            <w:tcW w:w="970" w:type="dxa"/>
            <w:tcBorders>
              <w:top w:val="single" w:sz="6" w:space="0" w:color="333333"/>
              <w:left w:val="single" w:sz="6" w:space="0" w:color="333333"/>
              <w:bottom w:val="single" w:sz="6" w:space="0" w:color="333333"/>
              <w:right w:val="single" w:sz="6" w:space="0" w:color="333333"/>
            </w:tcBorders>
            <w:hideMark/>
          </w:tcPr>
          <w:p w14:paraId="04127366" w14:textId="77777777" w:rsidR="009A0FA1" w:rsidRPr="000F28B6" w:rsidRDefault="009A0FA1" w:rsidP="00E5506A">
            <w:pPr>
              <w:tabs>
                <w:tab w:val="left" w:pos="284"/>
              </w:tabs>
              <w:spacing w:line="360" w:lineRule="auto"/>
              <w:ind w:left="0"/>
              <w:rPr>
                <w:rFonts w:ascii="Times New Roman" w:hAnsi="Times New Roman"/>
                <w:sz w:val="24"/>
                <w:szCs w:val="24"/>
                <w:lang w:val="en-US"/>
              </w:rPr>
            </w:pPr>
            <w:proofErr w:type="spellStart"/>
            <w:r w:rsidRPr="000F28B6">
              <w:rPr>
                <w:rFonts w:ascii="Times New Roman" w:hAnsi="Times New Roman"/>
                <w:sz w:val="24"/>
                <w:szCs w:val="24"/>
                <w:lang w:val="en-US"/>
              </w:rPr>
              <w:t>Braşov</w:t>
            </w:r>
            <w:proofErr w:type="spellEnd"/>
          </w:p>
        </w:tc>
        <w:tc>
          <w:tcPr>
            <w:tcW w:w="2700" w:type="dxa"/>
            <w:tcBorders>
              <w:top w:val="single" w:sz="6" w:space="0" w:color="333333"/>
              <w:left w:val="single" w:sz="6" w:space="0" w:color="333333"/>
              <w:bottom w:val="single" w:sz="6" w:space="0" w:color="333333"/>
              <w:right w:val="single" w:sz="6" w:space="0" w:color="333333"/>
            </w:tcBorders>
            <w:hideMark/>
          </w:tcPr>
          <w:p w14:paraId="52E1D30A" w14:textId="77777777" w:rsidR="009A0FA1" w:rsidRPr="000F28B6" w:rsidRDefault="009A0FA1" w:rsidP="00E5506A">
            <w:pPr>
              <w:tabs>
                <w:tab w:val="left" w:pos="284"/>
              </w:tabs>
              <w:spacing w:line="360" w:lineRule="auto"/>
              <w:ind w:left="0"/>
              <w:rPr>
                <w:rFonts w:ascii="Times New Roman" w:hAnsi="Times New Roman"/>
                <w:sz w:val="24"/>
                <w:szCs w:val="24"/>
                <w:lang w:val="en-US"/>
              </w:rPr>
            </w:pPr>
            <w:proofErr w:type="spellStart"/>
            <w:r w:rsidRPr="000F28B6">
              <w:rPr>
                <w:rFonts w:ascii="Times New Roman" w:hAnsi="Times New Roman"/>
                <w:sz w:val="24"/>
                <w:szCs w:val="24"/>
                <w:lang w:val="en-US"/>
              </w:rPr>
              <w:t>Braşov</w:t>
            </w:r>
            <w:proofErr w:type="spellEnd"/>
          </w:p>
        </w:tc>
        <w:tc>
          <w:tcPr>
            <w:tcW w:w="2160" w:type="dxa"/>
            <w:tcBorders>
              <w:top w:val="single" w:sz="6" w:space="0" w:color="333333"/>
              <w:left w:val="single" w:sz="6" w:space="0" w:color="333333"/>
              <w:bottom w:val="single" w:sz="6" w:space="0" w:color="333333"/>
              <w:right w:val="single" w:sz="6" w:space="0" w:color="333333"/>
            </w:tcBorders>
            <w:hideMark/>
          </w:tcPr>
          <w:p w14:paraId="3C6A0F4F" w14:textId="77777777" w:rsidR="009A0FA1" w:rsidRPr="000F28B6" w:rsidRDefault="009A0FA1" w:rsidP="00E5506A">
            <w:pPr>
              <w:tabs>
                <w:tab w:val="left" w:pos="284"/>
              </w:tabs>
              <w:spacing w:line="360" w:lineRule="auto"/>
              <w:ind w:left="0"/>
              <w:rPr>
                <w:rFonts w:ascii="Times New Roman" w:hAnsi="Times New Roman"/>
                <w:sz w:val="24"/>
                <w:szCs w:val="24"/>
                <w:lang w:val="en-US"/>
              </w:rPr>
            </w:pPr>
            <w:r w:rsidRPr="000F28B6">
              <w:rPr>
                <w:rFonts w:ascii="Times New Roman" w:hAnsi="Times New Roman"/>
                <w:sz w:val="24"/>
                <w:szCs w:val="24"/>
                <w:lang w:val="en-US"/>
              </w:rPr>
              <w:t>2007</w:t>
            </w:r>
          </w:p>
        </w:tc>
      </w:tr>
    </w:tbl>
    <w:p w14:paraId="0925273C" w14:textId="77777777" w:rsidR="009A0FA1" w:rsidRPr="000F28B6" w:rsidRDefault="009A0FA1" w:rsidP="009A0FA1">
      <w:pPr>
        <w:tabs>
          <w:tab w:val="left" w:pos="284"/>
        </w:tabs>
        <w:spacing w:line="360" w:lineRule="auto"/>
        <w:ind w:left="0"/>
        <w:rPr>
          <w:rFonts w:ascii="Times New Roman" w:hAnsi="Times New Roman"/>
          <w:sz w:val="24"/>
          <w:szCs w:val="24"/>
        </w:rPr>
      </w:pPr>
    </w:p>
    <w:p w14:paraId="62BB3044" w14:textId="713BC0BE" w:rsidR="008D70AE" w:rsidRDefault="008D70AE" w:rsidP="009A0FA1">
      <w:pPr>
        <w:tabs>
          <w:tab w:val="left" w:pos="284"/>
        </w:tabs>
        <w:spacing w:line="360" w:lineRule="auto"/>
        <w:ind w:left="0"/>
        <w:rPr>
          <w:rFonts w:ascii="Times New Roman" w:hAnsi="Times New Roman"/>
          <w:sz w:val="24"/>
          <w:szCs w:val="24"/>
        </w:rPr>
      </w:pPr>
      <w:r>
        <w:rPr>
          <w:rFonts w:ascii="Times New Roman" w:hAnsi="Times New Roman"/>
          <w:sz w:val="24"/>
          <w:szCs w:val="24"/>
        </w:rPr>
        <w:t>........................................................................................................................................................................</w:t>
      </w:r>
    </w:p>
    <w:p w14:paraId="715ECE1C" w14:textId="77777777" w:rsidR="009A0FA1" w:rsidRPr="000F28B6" w:rsidRDefault="009A0FA1" w:rsidP="009A0FA1">
      <w:pPr>
        <w:tabs>
          <w:tab w:val="left" w:pos="284"/>
        </w:tabs>
        <w:spacing w:line="360" w:lineRule="auto"/>
        <w:ind w:left="0"/>
        <w:rPr>
          <w:rFonts w:ascii="Times New Roman" w:hAnsi="Times New Roman"/>
          <w:sz w:val="24"/>
          <w:szCs w:val="24"/>
        </w:rPr>
      </w:pPr>
      <w:r w:rsidRPr="000F28B6">
        <w:rPr>
          <w:rFonts w:ascii="Times New Roman" w:hAnsi="Times New Roman"/>
          <w:sz w:val="24"/>
          <w:szCs w:val="24"/>
        </w:rPr>
        <w:t>Tabelul 5.3</w:t>
      </w:r>
    </w:p>
    <w:p w14:paraId="5D15F38B" w14:textId="77777777" w:rsidR="009A0FA1" w:rsidRPr="000F28B6" w:rsidRDefault="009A0FA1" w:rsidP="009A0FA1">
      <w:pPr>
        <w:tabs>
          <w:tab w:val="left" w:pos="284"/>
        </w:tabs>
        <w:spacing w:line="360" w:lineRule="auto"/>
        <w:ind w:left="0"/>
        <w:rPr>
          <w:rFonts w:ascii="Times New Roman" w:hAnsi="Times New Roman"/>
          <w:sz w:val="24"/>
          <w:szCs w:val="24"/>
        </w:rPr>
      </w:pPr>
      <w:r w:rsidRPr="000F28B6">
        <w:rPr>
          <w:rFonts w:ascii="Times New Roman" w:hAnsi="Times New Roman"/>
          <w:sz w:val="24"/>
          <w:szCs w:val="24"/>
        </w:rPr>
        <w:t>Depozite de deşeuri industriale periculoase care au sistat/încetat depozitarea până la 31 decembrie 2006</w:t>
      </w:r>
      <w:r w:rsidRPr="000F28B6">
        <w:rPr>
          <w:rFonts w:ascii="Times New Roman" w:hAnsi="Times New Roman"/>
          <w:sz w:val="24"/>
          <w:szCs w:val="24"/>
          <w:vertAlign w:val="superscript"/>
        </w:rPr>
        <w:t>2</w:t>
      </w:r>
    </w:p>
    <w:p w14:paraId="2E2D0093" w14:textId="77777777" w:rsidR="009A0FA1" w:rsidRPr="000F28B6" w:rsidRDefault="009A0FA1" w:rsidP="009A0FA1">
      <w:pPr>
        <w:tabs>
          <w:tab w:val="left" w:pos="284"/>
        </w:tabs>
        <w:spacing w:line="360" w:lineRule="auto"/>
        <w:ind w:left="0"/>
        <w:rPr>
          <w:rFonts w:ascii="Times New Roman" w:hAnsi="Times New Roman"/>
          <w:sz w:val="24"/>
          <w:szCs w:val="24"/>
        </w:rPr>
      </w:pPr>
      <w:r w:rsidRPr="000F28B6">
        <w:rPr>
          <w:rFonts w:ascii="Times New Roman" w:hAnsi="Times New Roman"/>
          <w:sz w:val="24"/>
          <w:szCs w:val="24"/>
          <w:vertAlign w:val="superscript"/>
        </w:rPr>
        <w:t>2</w:t>
      </w:r>
      <w:r w:rsidRPr="000F28B6">
        <w:rPr>
          <w:rFonts w:ascii="Times New Roman" w:hAnsi="Times New Roman"/>
          <w:sz w:val="24"/>
          <w:szCs w:val="24"/>
        </w:rPr>
        <w:t>Depozite care fac obiectul Hotărârii Curţii de Justiţie a Uniunii Europene din 18 octombrie 2018.</w:t>
      </w:r>
    </w:p>
    <w:tbl>
      <w:tblPr>
        <w:tblW w:w="5760" w:type="dxa"/>
        <w:jc w:val="center"/>
        <w:tblCellMar>
          <w:top w:w="15" w:type="dxa"/>
          <w:left w:w="15" w:type="dxa"/>
          <w:bottom w:w="15" w:type="dxa"/>
          <w:right w:w="15" w:type="dxa"/>
        </w:tblCellMar>
        <w:tblLook w:val="04A0" w:firstRow="1" w:lastRow="0" w:firstColumn="1" w:lastColumn="0" w:noHBand="0" w:noVBand="1"/>
      </w:tblPr>
      <w:tblGrid>
        <w:gridCol w:w="15"/>
        <w:gridCol w:w="1695"/>
        <w:gridCol w:w="4050"/>
      </w:tblGrid>
      <w:tr w:rsidR="009A0FA1" w:rsidRPr="000F28B6" w14:paraId="31BC6542" w14:textId="77777777" w:rsidTr="00B1052A">
        <w:trPr>
          <w:trHeight w:val="14"/>
          <w:jc w:val="center"/>
        </w:trPr>
        <w:tc>
          <w:tcPr>
            <w:tcW w:w="15" w:type="dxa"/>
            <w:tcMar>
              <w:top w:w="0" w:type="dxa"/>
              <w:left w:w="0" w:type="dxa"/>
              <w:bottom w:w="0" w:type="dxa"/>
              <w:right w:w="0" w:type="dxa"/>
            </w:tcMar>
            <w:hideMark/>
          </w:tcPr>
          <w:p w14:paraId="0F7BE285" w14:textId="77777777" w:rsidR="009A0FA1" w:rsidRPr="000F28B6" w:rsidRDefault="009A0FA1" w:rsidP="00E5506A">
            <w:pPr>
              <w:spacing w:after="160" w:line="259" w:lineRule="auto"/>
              <w:ind w:left="0"/>
              <w:jc w:val="left"/>
              <w:rPr>
                <w:rFonts w:ascii="Times New Roman" w:hAnsi="Times New Roman"/>
                <w:b/>
                <w:bCs/>
                <w:sz w:val="24"/>
                <w:szCs w:val="24"/>
              </w:rPr>
            </w:pPr>
          </w:p>
        </w:tc>
        <w:tc>
          <w:tcPr>
            <w:tcW w:w="1695" w:type="dxa"/>
            <w:hideMark/>
          </w:tcPr>
          <w:p w14:paraId="1EADB700" w14:textId="77777777" w:rsidR="009A0FA1" w:rsidRPr="000F28B6" w:rsidRDefault="009A0FA1" w:rsidP="00E5506A">
            <w:pPr>
              <w:spacing w:after="160" w:line="259" w:lineRule="auto"/>
              <w:ind w:left="0"/>
              <w:jc w:val="left"/>
              <w:rPr>
                <w:rFonts w:ascii="Times New Roman" w:hAnsi="Times New Roman"/>
                <w:sz w:val="24"/>
                <w:szCs w:val="24"/>
              </w:rPr>
            </w:pPr>
          </w:p>
        </w:tc>
        <w:tc>
          <w:tcPr>
            <w:tcW w:w="4050" w:type="dxa"/>
            <w:hideMark/>
          </w:tcPr>
          <w:p w14:paraId="095234B3" w14:textId="77777777" w:rsidR="009A0FA1" w:rsidRPr="000F28B6" w:rsidRDefault="009A0FA1" w:rsidP="00E5506A">
            <w:pPr>
              <w:spacing w:after="160" w:line="259" w:lineRule="auto"/>
              <w:ind w:left="0"/>
              <w:jc w:val="left"/>
              <w:rPr>
                <w:rFonts w:ascii="Times New Roman" w:hAnsi="Times New Roman"/>
                <w:sz w:val="24"/>
                <w:szCs w:val="24"/>
              </w:rPr>
            </w:pPr>
          </w:p>
        </w:tc>
      </w:tr>
      <w:tr w:rsidR="009A0FA1" w:rsidRPr="000F28B6" w14:paraId="62A6452F" w14:textId="77777777" w:rsidTr="00B1052A">
        <w:trPr>
          <w:trHeight w:val="342"/>
          <w:jc w:val="center"/>
        </w:trPr>
        <w:tc>
          <w:tcPr>
            <w:tcW w:w="15" w:type="dxa"/>
            <w:tcMar>
              <w:top w:w="0" w:type="dxa"/>
              <w:left w:w="0" w:type="dxa"/>
              <w:bottom w:w="0" w:type="dxa"/>
              <w:right w:w="0" w:type="dxa"/>
            </w:tcMar>
            <w:hideMark/>
          </w:tcPr>
          <w:p w14:paraId="23857197"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516374D0"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Judeţul</w:t>
            </w:r>
          </w:p>
        </w:tc>
        <w:tc>
          <w:tcPr>
            <w:tcW w:w="4050" w:type="dxa"/>
            <w:tcBorders>
              <w:top w:val="single" w:sz="6" w:space="0" w:color="333333"/>
              <w:left w:val="single" w:sz="6" w:space="0" w:color="333333"/>
              <w:bottom w:val="single" w:sz="6" w:space="0" w:color="333333"/>
              <w:right w:val="single" w:sz="6" w:space="0" w:color="333333"/>
            </w:tcBorders>
            <w:hideMark/>
          </w:tcPr>
          <w:p w14:paraId="6F8529EC"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Numele operatorului economic</w:t>
            </w:r>
          </w:p>
        </w:tc>
      </w:tr>
      <w:tr w:rsidR="009A0FA1" w:rsidRPr="000F28B6" w14:paraId="2F2511E9" w14:textId="77777777" w:rsidTr="00B1052A">
        <w:trPr>
          <w:trHeight w:val="342"/>
          <w:jc w:val="center"/>
        </w:trPr>
        <w:tc>
          <w:tcPr>
            <w:tcW w:w="15" w:type="dxa"/>
            <w:tcMar>
              <w:top w:w="0" w:type="dxa"/>
              <w:left w:w="0" w:type="dxa"/>
              <w:bottom w:w="0" w:type="dxa"/>
              <w:right w:w="0" w:type="dxa"/>
            </w:tcMar>
            <w:hideMark/>
          </w:tcPr>
          <w:p w14:paraId="1FB8FF0F"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171D93E8"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Bacău</w:t>
            </w:r>
          </w:p>
        </w:tc>
        <w:tc>
          <w:tcPr>
            <w:tcW w:w="4050" w:type="dxa"/>
            <w:tcBorders>
              <w:top w:val="single" w:sz="6" w:space="0" w:color="333333"/>
              <w:left w:val="single" w:sz="6" w:space="0" w:color="333333"/>
              <w:bottom w:val="single" w:sz="6" w:space="0" w:color="333333"/>
              <w:right w:val="single" w:sz="6" w:space="0" w:color="333333"/>
            </w:tcBorders>
            <w:hideMark/>
          </w:tcPr>
          <w:p w14:paraId="64BFDA42"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SOFERT - S.A.</w:t>
            </w:r>
          </w:p>
        </w:tc>
      </w:tr>
      <w:tr w:rsidR="009A0FA1" w:rsidRPr="000F28B6" w14:paraId="3C77F838" w14:textId="77777777" w:rsidTr="00B1052A">
        <w:trPr>
          <w:trHeight w:val="342"/>
          <w:jc w:val="center"/>
        </w:trPr>
        <w:tc>
          <w:tcPr>
            <w:tcW w:w="15" w:type="dxa"/>
            <w:tcMar>
              <w:top w:w="0" w:type="dxa"/>
              <w:left w:w="0" w:type="dxa"/>
              <w:bottom w:w="0" w:type="dxa"/>
              <w:right w:w="0" w:type="dxa"/>
            </w:tcMar>
            <w:hideMark/>
          </w:tcPr>
          <w:p w14:paraId="3C2CDBC1"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1FF7593A"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Bacău</w:t>
            </w:r>
          </w:p>
        </w:tc>
        <w:tc>
          <w:tcPr>
            <w:tcW w:w="4050" w:type="dxa"/>
            <w:tcBorders>
              <w:top w:val="single" w:sz="6" w:space="0" w:color="333333"/>
              <w:left w:val="single" w:sz="6" w:space="0" w:color="333333"/>
              <w:bottom w:val="single" w:sz="6" w:space="0" w:color="333333"/>
              <w:right w:val="single" w:sz="6" w:space="0" w:color="333333"/>
            </w:tcBorders>
            <w:hideMark/>
          </w:tcPr>
          <w:p w14:paraId="6F26BEF0"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Rafinăria Dărmăneşti - S.A.</w:t>
            </w:r>
          </w:p>
        </w:tc>
      </w:tr>
      <w:tr w:rsidR="009A0FA1" w:rsidRPr="000F28B6" w14:paraId="40FBFD49" w14:textId="77777777" w:rsidTr="00B1052A">
        <w:trPr>
          <w:trHeight w:val="342"/>
          <w:jc w:val="center"/>
        </w:trPr>
        <w:tc>
          <w:tcPr>
            <w:tcW w:w="15" w:type="dxa"/>
            <w:tcMar>
              <w:top w:w="0" w:type="dxa"/>
              <w:left w:w="0" w:type="dxa"/>
              <w:bottom w:w="0" w:type="dxa"/>
              <w:right w:w="0" w:type="dxa"/>
            </w:tcMar>
            <w:hideMark/>
          </w:tcPr>
          <w:p w14:paraId="617A6012"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2EC489AD"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44E28458"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PETROLSUB - S.A.</w:t>
            </w:r>
          </w:p>
        </w:tc>
      </w:tr>
      <w:tr w:rsidR="009A0FA1" w:rsidRPr="000F28B6" w14:paraId="6C26EA1C" w14:textId="77777777" w:rsidTr="00B1052A">
        <w:trPr>
          <w:trHeight w:val="342"/>
          <w:jc w:val="center"/>
        </w:trPr>
        <w:tc>
          <w:tcPr>
            <w:tcW w:w="15" w:type="dxa"/>
            <w:tcMar>
              <w:top w:w="0" w:type="dxa"/>
              <w:left w:w="0" w:type="dxa"/>
              <w:bottom w:w="0" w:type="dxa"/>
              <w:right w:w="0" w:type="dxa"/>
            </w:tcMar>
            <w:hideMark/>
          </w:tcPr>
          <w:p w14:paraId="1E30A0C7"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4A94C22B"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47E9B739"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PETROLSUB - S.A.</w:t>
            </w:r>
          </w:p>
        </w:tc>
      </w:tr>
      <w:tr w:rsidR="009A0FA1" w:rsidRPr="000F28B6" w14:paraId="7C5F2CE9" w14:textId="77777777" w:rsidTr="00B1052A">
        <w:trPr>
          <w:trHeight w:val="342"/>
          <w:jc w:val="center"/>
        </w:trPr>
        <w:tc>
          <w:tcPr>
            <w:tcW w:w="15" w:type="dxa"/>
            <w:tcMar>
              <w:top w:w="0" w:type="dxa"/>
              <w:left w:w="0" w:type="dxa"/>
              <w:bottom w:w="0" w:type="dxa"/>
              <w:right w:w="0" w:type="dxa"/>
            </w:tcMar>
            <w:hideMark/>
          </w:tcPr>
          <w:p w14:paraId="2BF01D4C"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35A0C075"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730405CB"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SINTEZA - S.A.</w:t>
            </w:r>
          </w:p>
        </w:tc>
      </w:tr>
      <w:tr w:rsidR="009A0FA1" w:rsidRPr="000F28B6" w14:paraId="42998737" w14:textId="77777777" w:rsidTr="00B1052A">
        <w:trPr>
          <w:trHeight w:val="342"/>
          <w:jc w:val="center"/>
        </w:trPr>
        <w:tc>
          <w:tcPr>
            <w:tcW w:w="15" w:type="dxa"/>
            <w:tcMar>
              <w:top w:w="0" w:type="dxa"/>
              <w:left w:w="0" w:type="dxa"/>
              <w:bottom w:w="0" w:type="dxa"/>
              <w:right w:w="0" w:type="dxa"/>
            </w:tcMar>
            <w:hideMark/>
          </w:tcPr>
          <w:p w14:paraId="6A4AE3B3"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560E2A02"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786E82B6"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PETROLSUB - S.A.</w:t>
            </w:r>
          </w:p>
        </w:tc>
      </w:tr>
      <w:tr w:rsidR="009A0FA1" w:rsidRPr="000F28B6" w14:paraId="0AA0C5DF" w14:textId="77777777" w:rsidTr="00B1052A">
        <w:trPr>
          <w:trHeight w:val="342"/>
          <w:jc w:val="center"/>
        </w:trPr>
        <w:tc>
          <w:tcPr>
            <w:tcW w:w="15" w:type="dxa"/>
            <w:tcMar>
              <w:top w:w="0" w:type="dxa"/>
              <w:left w:w="0" w:type="dxa"/>
              <w:bottom w:w="0" w:type="dxa"/>
              <w:right w:w="0" w:type="dxa"/>
            </w:tcMar>
            <w:hideMark/>
          </w:tcPr>
          <w:p w14:paraId="16E50FA4"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6C95C511"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48B609BF"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PETROL DERNA - S.A.</w:t>
            </w:r>
          </w:p>
        </w:tc>
      </w:tr>
      <w:tr w:rsidR="009A0FA1" w:rsidRPr="000F28B6" w14:paraId="726EC1AF" w14:textId="77777777" w:rsidTr="00B1052A">
        <w:trPr>
          <w:trHeight w:val="342"/>
          <w:jc w:val="center"/>
        </w:trPr>
        <w:tc>
          <w:tcPr>
            <w:tcW w:w="15" w:type="dxa"/>
            <w:tcMar>
              <w:top w:w="0" w:type="dxa"/>
              <w:left w:w="0" w:type="dxa"/>
              <w:bottom w:w="0" w:type="dxa"/>
              <w:right w:w="0" w:type="dxa"/>
            </w:tcMar>
            <w:hideMark/>
          </w:tcPr>
          <w:p w14:paraId="54D3BB8D"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59CEEB42"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7224376A"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PETROL DERNA - S.A.</w:t>
            </w:r>
          </w:p>
        </w:tc>
      </w:tr>
      <w:tr w:rsidR="009A0FA1" w:rsidRPr="000F28B6" w14:paraId="0C63A060" w14:textId="77777777" w:rsidTr="00B1052A">
        <w:trPr>
          <w:trHeight w:val="342"/>
          <w:jc w:val="center"/>
        </w:trPr>
        <w:tc>
          <w:tcPr>
            <w:tcW w:w="15" w:type="dxa"/>
            <w:tcMar>
              <w:top w:w="0" w:type="dxa"/>
              <w:left w:w="0" w:type="dxa"/>
              <w:bottom w:w="0" w:type="dxa"/>
              <w:right w:w="0" w:type="dxa"/>
            </w:tcMar>
            <w:hideMark/>
          </w:tcPr>
          <w:p w14:paraId="1E09513C"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667E2B9C"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115BDE16"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SINTEZA - S.A.</w:t>
            </w:r>
          </w:p>
        </w:tc>
      </w:tr>
      <w:tr w:rsidR="009A0FA1" w:rsidRPr="000F28B6" w14:paraId="3D887893" w14:textId="77777777" w:rsidTr="00B1052A">
        <w:trPr>
          <w:trHeight w:val="342"/>
          <w:jc w:val="center"/>
        </w:trPr>
        <w:tc>
          <w:tcPr>
            <w:tcW w:w="15" w:type="dxa"/>
            <w:tcMar>
              <w:top w:w="0" w:type="dxa"/>
              <w:left w:w="0" w:type="dxa"/>
              <w:bottom w:w="0" w:type="dxa"/>
              <w:right w:w="0" w:type="dxa"/>
            </w:tcMar>
            <w:hideMark/>
          </w:tcPr>
          <w:p w14:paraId="650C470F"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230EEF88"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0F07E929"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CEMTRADE - S.A. Oradea</w:t>
            </w:r>
          </w:p>
        </w:tc>
      </w:tr>
      <w:tr w:rsidR="009A0FA1" w:rsidRPr="000F28B6" w14:paraId="625E0AA4" w14:textId="77777777" w:rsidTr="00B1052A">
        <w:trPr>
          <w:trHeight w:val="342"/>
          <w:jc w:val="center"/>
        </w:trPr>
        <w:tc>
          <w:tcPr>
            <w:tcW w:w="15" w:type="dxa"/>
            <w:tcMar>
              <w:top w:w="0" w:type="dxa"/>
              <w:left w:w="0" w:type="dxa"/>
              <w:bottom w:w="0" w:type="dxa"/>
              <w:right w:w="0" w:type="dxa"/>
            </w:tcMar>
            <w:hideMark/>
          </w:tcPr>
          <w:p w14:paraId="37867F76"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3DD4A676"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Bihor</w:t>
            </w:r>
          </w:p>
        </w:tc>
        <w:tc>
          <w:tcPr>
            <w:tcW w:w="4050" w:type="dxa"/>
            <w:tcBorders>
              <w:top w:val="single" w:sz="6" w:space="0" w:color="333333"/>
              <w:left w:val="single" w:sz="6" w:space="0" w:color="333333"/>
              <w:bottom w:val="single" w:sz="6" w:space="0" w:color="333333"/>
              <w:right w:val="single" w:sz="6" w:space="0" w:color="333333"/>
            </w:tcBorders>
            <w:hideMark/>
          </w:tcPr>
          <w:p w14:paraId="2202D97B"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CEMTRADE - S.A. Oradea</w:t>
            </w:r>
          </w:p>
        </w:tc>
      </w:tr>
      <w:tr w:rsidR="009A0FA1" w:rsidRPr="000F28B6" w14:paraId="4A77521C" w14:textId="77777777" w:rsidTr="00B1052A">
        <w:trPr>
          <w:trHeight w:val="339"/>
          <w:jc w:val="center"/>
        </w:trPr>
        <w:tc>
          <w:tcPr>
            <w:tcW w:w="15" w:type="dxa"/>
            <w:tcMar>
              <w:top w:w="0" w:type="dxa"/>
              <w:left w:w="0" w:type="dxa"/>
              <w:bottom w:w="0" w:type="dxa"/>
              <w:right w:w="0" w:type="dxa"/>
            </w:tcMar>
            <w:hideMark/>
          </w:tcPr>
          <w:p w14:paraId="4CCB0FF1"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252F6CA4"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Bistriţa-Năsăud</w:t>
            </w:r>
          </w:p>
        </w:tc>
        <w:tc>
          <w:tcPr>
            <w:tcW w:w="4050" w:type="dxa"/>
            <w:tcBorders>
              <w:top w:val="single" w:sz="6" w:space="0" w:color="333333"/>
              <w:left w:val="single" w:sz="6" w:space="0" w:color="333333"/>
              <w:bottom w:val="single" w:sz="6" w:space="0" w:color="333333"/>
              <w:right w:val="single" w:sz="6" w:space="0" w:color="333333"/>
            </w:tcBorders>
            <w:hideMark/>
          </w:tcPr>
          <w:p w14:paraId="27678C1F"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ARIO - S.A.</w:t>
            </w:r>
          </w:p>
        </w:tc>
      </w:tr>
      <w:tr w:rsidR="009A0FA1" w:rsidRPr="000F28B6" w14:paraId="364830A5" w14:textId="77777777" w:rsidTr="00B1052A">
        <w:trPr>
          <w:trHeight w:val="550"/>
          <w:jc w:val="center"/>
        </w:trPr>
        <w:tc>
          <w:tcPr>
            <w:tcW w:w="15" w:type="dxa"/>
            <w:tcMar>
              <w:top w:w="0" w:type="dxa"/>
              <w:left w:w="0" w:type="dxa"/>
              <w:bottom w:w="0" w:type="dxa"/>
              <w:right w:w="0" w:type="dxa"/>
            </w:tcMar>
            <w:hideMark/>
          </w:tcPr>
          <w:p w14:paraId="5E95D5A2"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3531A369" w14:textId="77777777" w:rsidR="009A0FA1" w:rsidRPr="000F28B6" w:rsidRDefault="009A0FA1" w:rsidP="00E5506A">
            <w:pPr>
              <w:spacing w:after="160" w:line="259" w:lineRule="auto"/>
              <w:ind w:left="0"/>
              <w:rPr>
                <w:rFonts w:ascii="Times New Roman" w:hAnsi="Times New Roman"/>
                <w:sz w:val="24"/>
                <w:szCs w:val="24"/>
              </w:rPr>
            </w:pPr>
            <w:r w:rsidRPr="000F28B6">
              <w:rPr>
                <w:rFonts w:ascii="Times New Roman" w:hAnsi="Times New Roman"/>
                <w:sz w:val="24"/>
                <w:szCs w:val="24"/>
              </w:rPr>
              <w:t>Buzău</w:t>
            </w:r>
          </w:p>
        </w:tc>
        <w:tc>
          <w:tcPr>
            <w:tcW w:w="4050" w:type="dxa"/>
            <w:tcBorders>
              <w:top w:val="single" w:sz="6" w:space="0" w:color="333333"/>
              <w:left w:val="single" w:sz="6" w:space="0" w:color="333333"/>
              <w:bottom w:val="single" w:sz="6" w:space="0" w:color="333333"/>
              <w:right w:val="single" w:sz="6" w:space="0" w:color="333333"/>
            </w:tcBorders>
            <w:hideMark/>
          </w:tcPr>
          <w:p w14:paraId="4C56BAC7"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RAFINĂRIA "VENUS OILREG" - S.A. Râmnicu Sărat</w:t>
            </w:r>
          </w:p>
        </w:tc>
      </w:tr>
      <w:tr w:rsidR="009A0FA1" w:rsidRPr="000F28B6" w14:paraId="5E774809" w14:textId="77777777" w:rsidTr="00B1052A">
        <w:trPr>
          <w:trHeight w:val="342"/>
          <w:jc w:val="center"/>
        </w:trPr>
        <w:tc>
          <w:tcPr>
            <w:tcW w:w="15" w:type="dxa"/>
            <w:tcMar>
              <w:top w:w="0" w:type="dxa"/>
              <w:left w:w="0" w:type="dxa"/>
              <w:bottom w:w="0" w:type="dxa"/>
              <w:right w:w="0" w:type="dxa"/>
            </w:tcMar>
            <w:hideMark/>
          </w:tcPr>
          <w:p w14:paraId="0A7F074E"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4647FB40"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Ilfov</w:t>
            </w:r>
          </w:p>
        </w:tc>
        <w:tc>
          <w:tcPr>
            <w:tcW w:w="4050" w:type="dxa"/>
            <w:tcBorders>
              <w:top w:val="single" w:sz="6" w:space="0" w:color="333333"/>
              <w:left w:val="single" w:sz="6" w:space="0" w:color="333333"/>
              <w:bottom w:val="single" w:sz="6" w:space="0" w:color="333333"/>
              <w:right w:val="single" w:sz="6" w:space="0" w:color="333333"/>
            </w:tcBorders>
            <w:hideMark/>
          </w:tcPr>
          <w:p w14:paraId="527E9DC4"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NEFERAL - S.A.</w:t>
            </w:r>
          </w:p>
        </w:tc>
      </w:tr>
      <w:tr w:rsidR="009A0FA1" w:rsidRPr="000F28B6" w14:paraId="1C66F434" w14:textId="77777777" w:rsidTr="00B1052A">
        <w:trPr>
          <w:trHeight w:val="342"/>
          <w:jc w:val="center"/>
        </w:trPr>
        <w:tc>
          <w:tcPr>
            <w:tcW w:w="15" w:type="dxa"/>
            <w:tcMar>
              <w:top w:w="0" w:type="dxa"/>
              <w:left w:w="0" w:type="dxa"/>
              <w:bottom w:w="0" w:type="dxa"/>
              <w:right w:w="0" w:type="dxa"/>
            </w:tcMar>
            <w:hideMark/>
          </w:tcPr>
          <w:p w14:paraId="21136753"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006F9DC5"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Maramureş</w:t>
            </w:r>
          </w:p>
        </w:tc>
        <w:tc>
          <w:tcPr>
            <w:tcW w:w="4050" w:type="dxa"/>
            <w:tcBorders>
              <w:top w:val="single" w:sz="6" w:space="0" w:color="333333"/>
              <w:left w:val="single" w:sz="6" w:space="0" w:color="333333"/>
              <w:bottom w:val="single" w:sz="6" w:space="0" w:color="333333"/>
              <w:right w:val="single" w:sz="6" w:space="0" w:color="333333"/>
            </w:tcBorders>
            <w:hideMark/>
          </w:tcPr>
          <w:p w14:paraId="55042E09"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ROMPLUMB - S.A.</w:t>
            </w:r>
          </w:p>
        </w:tc>
      </w:tr>
      <w:tr w:rsidR="009A0FA1" w:rsidRPr="000F28B6" w14:paraId="573B5431" w14:textId="77777777" w:rsidTr="00B1052A">
        <w:trPr>
          <w:trHeight w:val="342"/>
          <w:jc w:val="center"/>
        </w:trPr>
        <w:tc>
          <w:tcPr>
            <w:tcW w:w="15" w:type="dxa"/>
            <w:tcMar>
              <w:top w:w="0" w:type="dxa"/>
              <w:left w:w="0" w:type="dxa"/>
              <w:bottom w:w="0" w:type="dxa"/>
              <w:right w:w="0" w:type="dxa"/>
            </w:tcMar>
            <w:hideMark/>
          </w:tcPr>
          <w:p w14:paraId="34B3212B"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570C43E3"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Mureş</w:t>
            </w:r>
          </w:p>
        </w:tc>
        <w:tc>
          <w:tcPr>
            <w:tcW w:w="4050" w:type="dxa"/>
            <w:tcBorders>
              <w:top w:val="single" w:sz="6" w:space="0" w:color="333333"/>
              <w:left w:val="single" w:sz="6" w:space="0" w:color="333333"/>
              <w:bottom w:val="single" w:sz="6" w:space="0" w:color="333333"/>
              <w:right w:val="single" w:sz="6" w:space="0" w:color="333333"/>
            </w:tcBorders>
            <w:hideMark/>
          </w:tcPr>
          <w:p w14:paraId="0C95506E"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BICAPA - S.A.</w:t>
            </w:r>
          </w:p>
        </w:tc>
      </w:tr>
      <w:tr w:rsidR="009A0FA1" w:rsidRPr="000F28B6" w14:paraId="0042325A" w14:textId="77777777" w:rsidTr="00B1052A">
        <w:trPr>
          <w:trHeight w:val="342"/>
          <w:jc w:val="center"/>
        </w:trPr>
        <w:tc>
          <w:tcPr>
            <w:tcW w:w="15" w:type="dxa"/>
            <w:tcMar>
              <w:top w:w="0" w:type="dxa"/>
              <w:left w:w="0" w:type="dxa"/>
              <w:bottom w:w="0" w:type="dxa"/>
              <w:right w:w="0" w:type="dxa"/>
            </w:tcMar>
            <w:hideMark/>
          </w:tcPr>
          <w:p w14:paraId="1A19B98A"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67EF9F86"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Prahova</w:t>
            </w:r>
          </w:p>
        </w:tc>
        <w:tc>
          <w:tcPr>
            <w:tcW w:w="4050" w:type="dxa"/>
            <w:tcBorders>
              <w:top w:val="single" w:sz="6" w:space="0" w:color="333333"/>
              <w:left w:val="single" w:sz="6" w:space="0" w:color="333333"/>
              <w:bottom w:val="single" w:sz="6" w:space="0" w:color="333333"/>
              <w:right w:val="single" w:sz="6" w:space="0" w:color="333333"/>
            </w:tcBorders>
            <w:hideMark/>
          </w:tcPr>
          <w:p w14:paraId="6EC7C0F4"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Rafinăria Astra Română - S.A.</w:t>
            </w:r>
          </w:p>
        </w:tc>
      </w:tr>
      <w:tr w:rsidR="009A0FA1" w:rsidRPr="000F28B6" w14:paraId="44702D16" w14:textId="77777777" w:rsidTr="00B1052A">
        <w:trPr>
          <w:trHeight w:val="342"/>
          <w:jc w:val="center"/>
        </w:trPr>
        <w:tc>
          <w:tcPr>
            <w:tcW w:w="15" w:type="dxa"/>
            <w:tcMar>
              <w:top w:w="0" w:type="dxa"/>
              <w:left w:w="0" w:type="dxa"/>
              <w:bottom w:w="0" w:type="dxa"/>
              <w:right w:w="0" w:type="dxa"/>
            </w:tcMar>
            <w:hideMark/>
          </w:tcPr>
          <w:p w14:paraId="069254C8"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36CB24F8"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Prahova</w:t>
            </w:r>
          </w:p>
        </w:tc>
        <w:tc>
          <w:tcPr>
            <w:tcW w:w="4050" w:type="dxa"/>
            <w:tcBorders>
              <w:top w:val="single" w:sz="6" w:space="0" w:color="333333"/>
              <w:left w:val="single" w:sz="6" w:space="0" w:color="333333"/>
              <w:bottom w:val="single" w:sz="6" w:space="0" w:color="333333"/>
              <w:right w:val="single" w:sz="6" w:space="0" w:color="333333"/>
            </w:tcBorders>
            <w:hideMark/>
          </w:tcPr>
          <w:p w14:paraId="2A561BAB"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Rafinăria Vega Ploieşti - S.A.</w:t>
            </w:r>
          </w:p>
        </w:tc>
      </w:tr>
      <w:tr w:rsidR="009A0FA1" w:rsidRPr="000F28B6" w14:paraId="3561E445" w14:textId="77777777" w:rsidTr="00B1052A">
        <w:trPr>
          <w:trHeight w:val="342"/>
          <w:jc w:val="center"/>
        </w:trPr>
        <w:tc>
          <w:tcPr>
            <w:tcW w:w="15" w:type="dxa"/>
            <w:tcMar>
              <w:top w:w="0" w:type="dxa"/>
              <w:left w:w="0" w:type="dxa"/>
              <w:bottom w:w="0" w:type="dxa"/>
              <w:right w:w="0" w:type="dxa"/>
            </w:tcMar>
            <w:hideMark/>
          </w:tcPr>
          <w:p w14:paraId="1E7E8727"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771394B1"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Prahova</w:t>
            </w:r>
          </w:p>
        </w:tc>
        <w:tc>
          <w:tcPr>
            <w:tcW w:w="4050" w:type="dxa"/>
            <w:tcBorders>
              <w:top w:val="single" w:sz="6" w:space="0" w:color="333333"/>
              <w:left w:val="single" w:sz="6" w:space="0" w:color="333333"/>
              <w:bottom w:val="single" w:sz="6" w:space="0" w:color="333333"/>
              <w:right w:val="single" w:sz="6" w:space="0" w:color="333333"/>
            </w:tcBorders>
            <w:hideMark/>
          </w:tcPr>
          <w:p w14:paraId="453C4CFA"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Rafinăria Steaua Română - S.A.</w:t>
            </w:r>
          </w:p>
        </w:tc>
      </w:tr>
      <w:tr w:rsidR="009A0FA1" w:rsidRPr="000F28B6" w14:paraId="76C04A57" w14:textId="77777777" w:rsidTr="00B1052A">
        <w:trPr>
          <w:trHeight w:val="342"/>
          <w:jc w:val="center"/>
        </w:trPr>
        <w:tc>
          <w:tcPr>
            <w:tcW w:w="15" w:type="dxa"/>
            <w:tcMar>
              <w:top w:w="0" w:type="dxa"/>
              <w:left w:w="0" w:type="dxa"/>
              <w:bottom w:w="0" w:type="dxa"/>
              <w:right w:w="0" w:type="dxa"/>
            </w:tcMar>
            <w:hideMark/>
          </w:tcPr>
          <w:p w14:paraId="077EEF8E"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2BB8CED0"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Prahova</w:t>
            </w:r>
          </w:p>
        </w:tc>
        <w:tc>
          <w:tcPr>
            <w:tcW w:w="4050" w:type="dxa"/>
            <w:tcBorders>
              <w:top w:val="single" w:sz="6" w:space="0" w:color="333333"/>
              <w:left w:val="single" w:sz="6" w:space="0" w:color="333333"/>
              <w:bottom w:val="single" w:sz="6" w:space="0" w:color="333333"/>
              <w:right w:val="single" w:sz="6" w:space="0" w:color="333333"/>
            </w:tcBorders>
            <w:hideMark/>
          </w:tcPr>
          <w:p w14:paraId="6BE2CC30"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Rafinăria Steaua Română - S.A.</w:t>
            </w:r>
          </w:p>
        </w:tc>
      </w:tr>
      <w:tr w:rsidR="009A0FA1" w:rsidRPr="000F28B6" w14:paraId="26FE6373" w14:textId="77777777" w:rsidTr="00B1052A">
        <w:trPr>
          <w:trHeight w:val="342"/>
          <w:jc w:val="center"/>
        </w:trPr>
        <w:tc>
          <w:tcPr>
            <w:tcW w:w="15" w:type="dxa"/>
            <w:tcMar>
              <w:top w:w="0" w:type="dxa"/>
              <w:left w:w="0" w:type="dxa"/>
              <w:bottom w:w="0" w:type="dxa"/>
              <w:right w:w="0" w:type="dxa"/>
            </w:tcMar>
            <w:hideMark/>
          </w:tcPr>
          <w:p w14:paraId="49F0E404"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39684366"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Sibiu</w:t>
            </w:r>
          </w:p>
        </w:tc>
        <w:tc>
          <w:tcPr>
            <w:tcW w:w="4050" w:type="dxa"/>
            <w:tcBorders>
              <w:top w:val="single" w:sz="6" w:space="0" w:color="333333"/>
              <w:left w:val="single" w:sz="6" w:space="0" w:color="333333"/>
              <w:bottom w:val="single" w:sz="6" w:space="0" w:color="333333"/>
              <w:right w:val="single" w:sz="6" w:space="0" w:color="333333"/>
            </w:tcBorders>
            <w:hideMark/>
          </w:tcPr>
          <w:p w14:paraId="6FEE60A4"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SOMETRA - S.A. Copşa Mică</w:t>
            </w:r>
          </w:p>
        </w:tc>
      </w:tr>
      <w:tr w:rsidR="009A0FA1" w:rsidRPr="000F28B6" w14:paraId="51FB36BD" w14:textId="77777777" w:rsidTr="00B1052A">
        <w:trPr>
          <w:trHeight w:val="357"/>
          <w:jc w:val="center"/>
        </w:trPr>
        <w:tc>
          <w:tcPr>
            <w:tcW w:w="15" w:type="dxa"/>
            <w:tcMar>
              <w:top w:w="0" w:type="dxa"/>
              <w:left w:w="0" w:type="dxa"/>
              <w:bottom w:w="0" w:type="dxa"/>
              <w:right w:w="0" w:type="dxa"/>
            </w:tcMar>
            <w:hideMark/>
          </w:tcPr>
          <w:p w14:paraId="0839ED9A" w14:textId="77777777" w:rsidR="009A0FA1" w:rsidRPr="000F28B6" w:rsidRDefault="009A0FA1" w:rsidP="00E5506A">
            <w:pPr>
              <w:spacing w:after="160" w:line="259" w:lineRule="auto"/>
              <w:ind w:left="0"/>
              <w:jc w:val="left"/>
              <w:rPr>
                <w:rFonts w:ascii="Times New Roman" w:hAnsi="Times New Roman"/>
                <w:sz w:val="24"/>
                <w:szCs w:val="24"/>
              </w:rPr>
            </w:pPr>
          </w:p>
        </w:tc>
        <w:tc>
          <w:tcPr>
            <w:tcW w:w="1695" w:type="dxa"/>
            <w:tcBorders>
              <w:top w:val="single" w:sz="6" w:space="0" w:color="333333"/>
              <w:left w:val="single" w:sz="6" w:space="0" w:color="333333"/>
              <w:bottom w:val="single" w:sz="6" w:space="0" w:color="333333"/>
              <w:right w:val="single" w:sz="6" w:space="0" w:color="333333"/>
            </w:tcBorders>
            <w:hideMark/>
          </w:tcPr>
          <w:p w14:paraId="315CD09D"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Teleorman</w:t>
            </w:r>
          </w:p>
        </w:tc>
        <w:tc>
          <w:tcPr>
            <w:tcW w:w="4050" w:type="dxa"/>
            <w:tcBorders>
              <w:top w:val="single" w:sz="6" w:space="0" w:color="333333"/>
              <w:left w:val="single" w:sz="6" w:space="0" w:color="333333"/>
              <w:bottom w:val="single" w:sz="6" w:space="0" w:color="333333"/>
              <w:right w:val="single" w:sz="6" w:space="0" w:color="333333"/>
            </w:tcBorders>
            <w:hideMark/>
          </w:tcPr>
          <w:p w14:paraId="50BBDC31" w14:textId="77777777" w:rsidR="009A0FA1" w:rsidRPr="000F28B6" w:rsidRDefault="009A0FA1" w:rsidP="00E5506A">
            <w:pPr>
              <w:spacing w:after="160" w:line="259" w:lineRule="auto"/>
              <w:ind w:left="0"/>
              <w:jc w:val="left"/>
              <w:rPr>
                <w:rFonts w:ascii="Times New Roman" w:hAnsi="Times New Roman"/>
                <w:sz w:val="24"/>
                <w:szCs w:val="24"/>
              </w:rPr>
            </w:pPr>
            <w:r w:rsidRPr="000F28B6">
              <w:rPr>
                <w:rFonts w:ascii="Times New Roman" w:hAnsi="Times New Roman"/>
                <w:sz w:val="24"/>
                <w:szCs w:val="24"/>
              </w:rPr>
              <w:t>S.C. TURNU - S.A.</w:t>
            </w:r>
          </w:p>
        </w:tc>
      </w:tr>
    </w:tbl>
    <w:p w14:paraId="2D6FE2ED" w14:textId="77777777" w:rsidR="009A0FA1" w:rsidRDefault="009A0FA1" w:rsidP="009A0FA1">
      <w:pPr>
        <w:pStyle w:val="ListParagraph"/>
        <w:tabs>
          <w:tab w:val="left" w:pos="284"/>
        </w:tabs>
        <w:spacing w:line="360" w:lineRule="auto"/>
        <w:ind w:left="720"/>
        <w:rPr>
          <w:rFonts w:ascii="Times New Roman" w:hAnsi="Times New Roman"/>
          <w:b/>
          <w:bCs/>
        </w:rPr>
      </w:pPr>
    </w:p>
    <w:p w14:paraId="6214A094" w14:textId="77777777" w:rsidR="00B81973" w:rsidRPr="000F28B6" w:rsidRDefault="00B81973" w:rsidP="009A0FA1">
      <w:pPr>
        <w:pStyle w:val="ListParagraph"/>
        <w:tabs>
          <w:tab w:val="left" w:pos="284"/>
        </w:tabs>
        <w:spacing w:line="360" w:lineRule="auto"/>
        <w:ind w:left="720"/>
        <w:rPr>
          <w:rFonts w:ascii="Times New Roman" w:hAnsi="Times New Roman"/>
          <w:b/>
          <w:bCs/>
        </w:rPr>
      </w:pPr>
    </w:p>
    <w:p w14:paraId="38617803" w14:textId="77777777" w:rsidR="009A0FA1" w:rsidRPr="000F28B6" w:rsidRDefault="009A0FA1" w:rsidP="009A0FA1">
      <w:pPr>
        <w:tabs>
          <w:tab w:val="left" w:pos="284"/>
        </w:tabs>
        <w:spacing w:line="360" w:lineRule="auto"/>
        <w:ind w:left="0"/>
        <w:rPr>
          <w:rFonts w:ascii="Times New Roman" w:hAnsi="Times New Roman"/>
          <w:sz w:val="24"/>
          <w:szCs w:val="24"/>
        </w:rPr>
      </w:pPr>
      <w:r w:rsidRPr="000F28B6">
        <w:rPr>
          <w:rFonts w:ascii="Times New Roman" w:hAnsi="Times New Roman"/>
          <w:sz w:val="24"/>
          <w:szCs w:val="24"/>
        </w:rPr>
        <w:t>Tabelul 5.4</w:t>
      </w:r>
    </w:p>
    <w:p w14:paraId="0E45E3BC" w14:textId="77777777" w:rsidR="009A0FA1" w:rsidRPr="000F28B6" w:rsidRDefault="009A0FA1" w:rsidP="009A0FA1">
      <w:pPr>
        <w:tabs>
          <w:tab w:val="left" w:pos="284"/>
        </w:tabs>
        <w:spacing w:line="360" w:lineRule="auto"/>
        <w:ind w:left="0"/>
        <w:rPr>
          <w:rFonts w:ascii="Times New Roman" w:hAnsi="Times New Roman"/>
          <w:sz w:val="24"/>
          <w:szCs w:val="24"/>
        </w:rPr>
      </w:pPr>
      <w:r w:rsidRPr="000F28B6">
        <w:rPr>
          <w:rFonts w:ascii="Times New Roman" w:hAnsi="Times New Roman"/>
          <w:sz w:val="24"/>
          <w:szCs w:val="24"/>
        </w:rPr>
        <w:t>Depozite de deşeuri industriale nepericuloase care au sistat/încetat depozitarea între 1 ianuarie 2007 şi 16 iulie 2009</w:t>
      </w:r>
      <w:r w:rsidRPr="000F28B6">
        <w:rPr>
          <w:rFonts w:ascii="Times New Roman" w:hAnsi="Times New Roman"/>
          <w:sz w:val="24"/>
          <w:szCs w:val="24"/>
          <w:vertAlign w:val="superscript"/>
        </w:rPr>
        <w:t>3</w:t>
      </w:r>
    </w:p>
    <w:p w14:paraId="2A3E5234" w14:textId="6C614424" w:rsidR="009A0FA1" w:rsidRPr="000F28B6" w:rsidRDefault="009A0FA1" w:rsidP="009A0FA1">
      <w:pPr>
        <w:tabs>
          <w:tab w:val="left" w:pos="284"/>
        </w:tabs>
        <w:spacing w:line="360" w:lineRule="auto"/>
        <w:ind w:left="0"/>
        <w:rPr>
          <w:rFonts w:ascii="Times New Roman" w:hAnsi="Times New Roman"/>
          <w:sz w:val="24"/>
          <w:szCs w:val="24"/>
        </w:rPr>
      </w:pPr>
      <w:r w:rsidRPr="000F28B6">
        <w:rPr>
          <w:rFonts w:ascii="Times New Roman" w:hAnsi="Times New Roman"/>
          <w:sz w:val="24"/>
          <w:szCs w:val="24"/>
          <w:vertAlign w:val="superscript"/>
        </w:rPr>
        <w:t>3</w:t>
      </w:r>
      <w:r w:rsidRPr="000F28B6">
        <w:rPr>
          <w:rFonts w:ascii="Times New Roman" w:hAnsi="Times New Roman"/>
          <w:sz w:val="24"/>
          <w:szCs w:val="24"/>
        </w:rPr>
        <w:t>Depozite care fac obiectul Hotărârii Curţii de Justiţie a Uniunii Europene din 18 octombrie 2018</w:t>
      </w:r>
    </w:p>
    <w:tbl>
      <w:tblPr>
        <w:tblW w:w="9012" w:type="dxa"/>
        <w:jc w:val="center"/>
        <w:tblCellMar>
          <w:top w:w="15" w:type="dxa"/>
          <w:left w:w="15" w:type="dxa"/>
          <w:bottom w:w="15" w:type="dxa"/>
          <w:right w:w="15" w:type="dxa"/>
        </w:tblCellMar>
        <w:tblLook w:val="04A0" w:firstRow="1" w:lastRow="0" w:firstColumn="1" w:lastColumn="0" w:noHBand="0" w:noVBand="1"/>
      </w:tblPr>
      <w:tblGrid>
        <w:gridCol w:w="1620"/>
        <w:gridCol w:w="1710"/>
        <w:gridCol w:w="4140"/>
        <w:gridCol w:w="1542"/>
      </w:tblGrid>
      <w:tr w:rsidR="008D70AE" w:rsidRPr="000F28B6" w14:paraId="698F7ED6" w14:textId="575E3B05" w:rsidTr="004053FC">
        <w:trPr>
          <w:trHeight w:val="345"/>
          <w:jc w:val="center"/>
        </w:trPr>
        <w:tc>
          <w:tcPr>
            <w:tcW w:w="1620" w:type="dxa"/>
            <w:tcMar>
              <w:top w:w="0" w:type="dxa"/>
              <w:left w:w="0" w:type="dxa"/>
              <w:bottom w:w="0" w:type="dxa"/>
              <w:right w:w="0" w:type="dxa"/>
            </w:tcMar>
            <w:hideMark/>
          </w:tcPr>
          <w:p w14:paraId="33E4637E"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5BC9A101"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Judeţul</w:t>
            </w:r>
            <w:proofErr w:type="spellEnd"/>
          </w:p>
        </w:tc>
        <w:tc>
          <w:tcPr>
            <w:tcW w:w="4140" w:type="dxa"/>
            <w:tcBorders>
              <w:top w:val="single" w:sz="6" w:space="0" w:color="333333"/>
              <w:left w:val="single" w:sz="6" w:space="0" w:color="333333"/>
              <w:bottom w:val="single" w:sz="6" w:space="0" w:color="333333"/>
              <w:right w:val="single" w:sz="6" w:space="0" w:color="333333"/>
            </w:tcBorders>
            <w:hideMark/>
          </w:tcPr>
          <w:p w14:paraId="61328119"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Numele</w:t>
            </w:r>
            <w:proofErr w:type="spellEnd"/>
            <w:r w:rsidRPr="000F28B6">
              <w:rPr>
                <w:rFonts w:ascii="Times New Roman" w:hAnsi="Times New Roman"/>
                <w:sz w:val="24"/>
                <w:szCs w:val="24"/>
                <w:lang w:val="en-GB"/>
              </w:rPr>
              <w:t xml:space="preserve"> </w:t>
            </w:r>
            <w:proofErr w:type="spellStart"/>
            <w:r w:rsidRPr="000F28B6">
              <w:rPr>
                <w:rFonts w:ascii="Times New Roman" w:hAnsi="Times New Roman"/>
                <w:sz w:val="24"/>
                <w:szCs w:val="24"/>
                <w:lang w:val="en-GB"/>
              </w:rPr>
              <w:t>operatorului</w:t>
            </w:r>
            <w:proofErr w:type="spellEnd"/>
            <w:r w:rsidRPr="000F28B6">
              <w:rPr>
                <w:rFonts w:ascii="Times New Roman" w:hAnsi="Times New Roman"/>
                <w:sz w:val="24"/>
                <w:szCs w:val="24"/>
                <w:lang w:val="en-GB"/>
              </w:rPr>
              <w:t xml:space="preserve"> economic</w:t>
            </w:r>
          </w:p>
        </w:tc>
        <w:tc>
          <w:tcPr>
            <w:tcW w:w="1542" w:type="dxa"/>
            <w:tcBorders>
              <w:left w:val="single" w:sz="6" w:space="0" w:color="333333"/>
            </w:tcBorders>
          </w:tcPr>
          <w:p w14:paraId="550B0A01"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6F29A55A" w14:textId="238BA461" w:rsidTr="004053FC">
        <w:trPr>
          <w:trHeight w:val="345"/>
          <w:jc w:val="center"/>
        </w:trPr>
        <w:tc>
          <w:tcPr>
            <w:tcW w:w="1620" w:type="dxa"/>
            <w:tcMar>
              <w:top w:w="0" w:type="dxa"/>
              <w:left w:w="0" w:type="dxa"/>
              <w:bottom w:w="0" w:type="dxa"/>
              <w:right w:w="0" w:type="dxa"/>
            </w:tcMar>
            <w:hideMark/>
          </w:tcPr>
          <w:p w14:paraId="4101C104"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7B569828"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Alba</w:t>
            </w:r>
          </w:p>
        </w:tc>
        <w:tc>
          <w:tcPr>
            <w:tcW w:w="4140" w:type="dxa"/>
            <w:tcBorders>
              <w:top w:val="single" w:sz="6" w:space="0" w:color="333333"/>
              <w:left w:val="single" w:sz="6" w:space="0" w:color="333333"/>
              <w:bottom w:val="single" w:sz="6" w:space="0" w:color="333333"/>
              <w:right w:val="single" w:sz="6" w:space="0" w:color="333333"/>
            </w:tcBorders>
            <w:hideMark/>
          </w:tcPr>
          <w:p w14:paraId="44183157"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S.C. SATURN - S.A. Alba Iulia</w:t>
            </w:r>
          </w:p>
        </w:tc>
        <w:tc>
          <w:tcPr>
            <w:tcW w:w="1542" w:type="dxa"/>
            <w:tcBorders>
              <w:left w:val="single" w:sz="6" w:space="0" w:color="333333"/>
            </w:tcBorders>
          </w:tcPr>
          <w:p w14:paraId="3F2DD2D0"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262B8AF1" w14:textId="5BFD4A88" w:rsidTr="004053FC">
        <w:trPr>
          <w:trHeight w:val="345"/>
          <w:jc w:val="center"/>
        </w:trPr>
        <w:tc>
          <w:tcPr>
            <w:tcW w:w="1620" w:type="dxa"/>
            <w:tcMar>
              <w:top w:w="0" w:type="dxa"/>
              <w:left w:w="0" w:type="dxa"/>
              <w:bottom w:w="0" w:type="dxa"/>
              <w:right w:w="0" w:type="dxa"/>
            </w:tcMar>
            <w:hideMark/>
          </w:tcPr>
          <w:p w14:paraId="2BB96A3A"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032D08B8"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Bacău</w:t>
            </w:r>
            <w:proofErr w:type="spellEnd"/>
          </w:p>
        </w:tc>
        <w:tc>
          <w:tcPr>
            <w:tcW w:w="4140" w:type="dxa"/>
            <w:tcBorders>
              <w:top w:val="single" w:sz="6" w:space="0" w:color="333333"/>
              <w:left w:val="single" w:sz="6" w:space="0" w:color="333333"/>
              <w:bottom w:val="single" w:sz="6" w:space="0" w:color="333333"/>
              <w:right w:val="single" w:sz="6" w:space="0" w:color="333333"/>
            </w:tcBorders>
            <w:hideMark/>
          </w:tcPr>
          <w:p w14:paraId="71B41F8E"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 xml:space="preserve">S.C. CAROM - S.A. </w:t>
            </w:r>
            <w:proofErr w:type="spellStart"/>
            <w:r w:rsidRPr="000F28B6">
              <w:rPr>
                <w:rFonts w:ascii="Times New Roman" w:hAnsi="Times New Roman"/>
                <w:sz w:val="24"/>
                <w:szCs w:val="24"/>
                <w:lang w:val="en-GB"/>
              </w:rPr>
              <w:t>Oneşti</w:t>
            </w:r>
            <w:proofErr w:type="spellEnd"/>
          </w:p>
        </w:tc>
        <w:tc>
          <w:tcPr>
            <w:tcW w:w="1542" w:type="dxa"/>
            <w:tcBorders>
              <w:left w:val="single" w:sz="6" w:space="0" w:color="333333"/>
            </w:tcBorders>
          </w:tcPr>
          <w:p w14:paraId="1F211C80"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7EC38056" w14:textId="544F0CDA" w:rsidTr="004053FC">
        <w:trPr>
          <w:trHeight w:val="345"/>
          <w:jc w:val="center"/>
        </w:trPr>
        <w:tc>
          <w:tcPr>
            <w:tcW w:w="1620" w:type="dxa"/>
            <w:tcMar>
              <w:top w:w="0" w:type="dxa"/>
              <w:left w:w="0" w:type="dxa"/>
              <w:bottom w:w="0" w:type="dxa"/>
              <w:right w:w="0" w:type="dxa"/>
            </w:tcMar>
            <w:hideMark/>
          </w:tcPr>
          <w:p w14:paraId="6F7E0FCC"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5230F38E"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Braşov</w:t>
            </w:r>
            <w:proofErr w:type="spellEnd"/>
          </w:p>
        </w:tc>
        <w:tc>
          <w:tcPr>
            <w:tcW w:w="4140" w:type="dxa"/>
            <w:tcBorders>
              <w:top w:val="single" w:sz="6" w:space="0" w:color="333333"/>
              <w:left w:val="single" w:sz="6" w:space="0" w:color="333333"/>
              <w:bottom w:val="single" w:sz="6" w:space="0" w:color="333333"/>
              <w:right w:val="single" w:sz="6" w:space="0" w:color="333333"/>
            </w:tcBorders>
            <w:hideMark/>
          </w:tcPr>
          <w:p w14:paraId="3AFC5E89"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ENERGO TECH - S.R.L.</w:t>
            </w:r>
          </w:p>
        </w:tc>
        <w:tc>
          <w:tcPr>
            <w:tcW w:w="1542" w:type="dxa"/>
            <w:tcBorders>
              <w:left w:val="single" w:sz="6" w:space="0" w:color="333333"/>
            </w:tcBorders>
          </w:tcPr>
          <w:p w14:paraId="77ACE36E"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165A9828" w14:textId="3E9DE3CE" w:rsidTr="004053FC">
        <w:trPr>
          <w:trHeight w:val="345"/>
          <w:jc w:val="center"/>
        </w:trPr>
        <w:tc>
          <w:tcPr>
            <w:tcW w:w="1620" w:type="dxa"/>
            <w:tcMar>
              <w:top w:w="0" w:type="dxa"/>
              <w:left w:w="0" w:type="dxa"/>
              <w:bottom w:w="0" w:type="dxa"/>
              <w:right w:w="0" w:type="dxa"/>
            </w:tcMar>
            <w:hideMark/>
          </w:tcPr>
          <w:p w14:paraId="2D1F69E4"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292E130A"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Cluj</w:t>
            </w:r>
          </w:p>
        </w:tc>
        <w:tc>
          <w:tcPr>
            <w:tcW w:w="4140" w:type="dxa"/>
            <w:tcBorders>
              <w:top w:val="single" w:sz="6" w:space="0" w:color="333333"/>
              <w:left w:val="single" w:sz="6" w:space="0" w:color="333333"/>
              <w:bottom w:val="single" w:sz="6" w:space="0" w:color="333333"/>
              <w:right w:val="single" w:sz="6" w:space="0" w:color="333333"/>
            </w:tcBorders>
            <w:hideMark/>
          </w:tcPr>
          <w:p w14:paraId="679D3DD9"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S.C. SOMEŞ DEJ</w:t>
            </w:r>
          </w:p>
        </w:tc>
        <w:tc>
          <w:tcPr>
            <w:tcW w:w="1542" w:type="dxa"/>
            <w:tcBorders>
              <w:left w:val="single" w:sz="6" w:space="0" w:color="333333"/>
            </w:tcBorders>
          </w:tcPr>
          <w:p w14:paraId="4A391E97"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6A8C5B4C" w14:textId="0C576F02" w:rsidTr="004053FC">
        <w:trPr>
          <w:trHeight w:val="345"/>
          <w:jc w:val="center"/>
        </w:trPr>
        <w:tc>
          <w:tcPr>
            <w:tcW w:w="1620" w:type="dxa"/>
            <w:tcMar>
              <w:top w:w="0" w:type="dxa"/>
              <w:left w:w="0" w:type="dxa"/>
              <w:bottom w:w="0" w:type="dxa"/>
              <w:right w:w="0" w:type="dxa"/>
            </w:tcMar>
            <w:hideMark/>
          </w:tcPr>
          <w:p w14:paraId="2C8C06B5"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12EA0EDF"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Galaţi</w:t>
            </w:r>
            <w:proofErr w:type="spellEnd"/>
          </w:p>
        </w:tc>
        <w:tc>
          <w:tcPr>
            <w:tcW w:w="4140" w:type="dxa"/>
            <w:tcBorders>
              <w:top w:val="single" w:sz="6" w:space="0" w:color="333333"/>
              <w:left w:val="single" w:sz="6" w:space="0" w:color="333333"/>
              <w:bottom w:val="single" w:sz="6" w:space="0" w:color="333333"/>
              <w:right w:val="single" w:sz="6" w:space="0" w:color="333333"/>
            </w:tcBorders>
            <w:hideMark/>
          </w:tcPr>
          <w:p w14:paraId="38492E92"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ELNAV</w:t>
            </w:r>
          </w:p>
        </w:tc>
        <w:tc>
          <w:tcPr>
            <w:tcW w:w="1542" w:type="dxa"/>
            <w:tcBorders>
              <w:left w:val="single" w:sz="6" w:space="0" w:color="333333"/>
            </w:tcBorders>
          </w:tcPr>
          <w:p w14:paraId="114A65A3"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4E14B31E" w14:textId="6E29E3BF" w:rsidTr="004053FC">
        <w:trPr>
          <w:trHeight w:val="345"/>
          <w:jc w:val="center"/>
        </w:trPr>
        <w:tc>
          <w:tcPr>
            <w:tcW w:w="1620" w:type="dxa"/>
            <w:tcMar>
              <w:top w:w="0" w:type="dxa"/>
              <w:left w:w="0" w:type="dxa"/>
              <w:bottom w:w="0" w:type="dxa"/>
              <w:right w:w="0" w:type="dxa"/>
            </w:tcMar>
            <w:hideMark/>
          </w:tcPr>
          <w:p w14:paraId="25975EA8"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3B172A06"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Galaţi</w:t>
            </w:r>
            <w:proofErr w:type="spellEnd"/>
          </w:p>
        </w:tc>
        <w:tc>
          <w:tcPr>
            <w:tcW w:w="4140" w:type="dxa"/>
            <w:tcBorders>
              <w:top w:val="single" w:sz="6" w:space="0" w:color="333333"/>
              <w:left w:val="single" w:sz="6" w:space="0" w:color="333333"/>
              <w:bottom w:val="single" w:sz="6" w:space="0" w:color="333333"/>
              <w:right w:val="single" w:sz="6" w:space="0" w:color="333333"/>
            </w:tcBorders>
            <w:hideMark/>
          </w:tcPr>
          <w:p w14:paraId="02B3FD9A"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ISPAT SIDEX</w:t>
            </w:r>
          </w:p>
        </w:tc>
        <w:tc>
          <w:tcPr>
            <w:tcW w:w="1542" w:type="dxa"/>
            <w:tcBorders>
              <w:left w:val="single" w:sz="6" w:space="0" w:color="333333"/>
            </w:tcBorders>
          </w:tcPr>
          <w:p w14:paraId="581305CE"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42C31096" w14:textId="6CD28D92" w:rsidTr="004053FC">
        <w:trPr>
          <w:trHeight w:val="345"/>
          <w:jc w:val="center"/>
        </w:trPr>
        <w:tc>
          <w:tcPr>
            <w:tcW w:w="1620" w:type="dxa"/>
            <w:tcMar>
              <w:top w:w="0" w:type="dxa"/>
              <w:left w:w="0" w:type="dxa"/>
              <w:bottom w:w="0" w:type="dxa"/>
              <w:right w:w="0" w:type="dxa"/>
            </w:tcMar>
            <w:hideMark/>
          </w:tcPr>
          <w:p w14:paraId="0B286C42"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28CDC8BD"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Hunedoara</w:t>
            </w:r>
          </w:p>
        </w:tc>
        <w:tc>
          <w:tcPr>
            <w:tcW w:w="4140" w:type="dxa"/>
            <w:tcBorders>
              <w:top w:val="single" w:sz="6" w:space="0" w:color="333333"/>
              <w:left w:val="single" w:sz="6" w:space="0" w:color="333333"/>
              <w:bottom w:val="single" w:sz="6" w:space="0" w:color="333333"/>
              <w:right w:val="single" w:sz="6" w:space="0" w:color="333333"/>
            </w:tcBorders>
            <w:hideMark/>
          </w:tcPr>
          <w:p w14:paraId="799ACD4E"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 xml:space="preserve">S.C. FOREVER - S.R.L. </w:t>
            </w:r>
            <w:proofErr w:type="spellStart"/>
            <w:r w:rsidRPr="000F28B6">
              <w:rPr>
                <w:rFonts w:ascii="Times New Roman" w:hAnsi="Times New Roman"/>
                <w:sz w:val="24"/>
                <w:szCs w:val="24"/>
                <w:lang w:val="en-GB"/>
              </w:rPr>
              <w:t>Călan</w:t>
            </w:r>
            <w:proofErr w:type="spellEnd"/>
          </w:p>
        </w:tc>
        <w:tc>
          <w:tcPr>
            <w:tcW w:w="1542" w:type="dxa"/>
            <w:tcBorders>
              <w:left w:val="single" w:sz="6" w:space="0" w:color="333333"/>
            </w:tcBorders>
          </w:tcPr>
          <w:p w14:paraId="648DFCCB"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750038E4" w14:textId="3627E12C" w:rsidTr="004053FC">
        <w:trPr>
          <w:trHeight w:val="345"/>
          <w:jc w:val="center"/>
        </w:trPr>
        <w:tc>
          <w:tcPr>
            <w:tcW w:w="1620" w:type="dxa"/>
            <w:tcMar>
              <w:top w:w="0" w:type="dxa"/>
              <w:left w:w="0" w:type="dxa"/>
              <w:bottom w:w="0" w:type="dxa"/>
              <w:right w:w="0" w:type="dxa"/>
            </w:tcMar>
            <w:hideMark/>
          </w:tcPr>
          <w:p w14:paraId="50603005"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151F0E61"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Mureş</w:t>
            </w:r>
            <w:proofErr w:type="spellEnd"/>
          </w:p>
        </w:tc>
        <w:tc>
          <w:tcPr>
            <w:tcW w:w="4140" w:type="dxa"/>
            <w:tcBorders>
              <w:top w:val="single" w:sz="6" w:space="0" w:color="333333"/>
              <w:left w:val="single" w:sz="6" w:space="0" w:color="333333"/>
              <w:bottom w:val="single" w:sz="6" w:space="0" w:color="333333"/>
              <w:right w:val="single" w:sz="6" w:space="0" w:color="333333"/>
            </w:tcBorders>
            <w:hideMark/>
          </w:tcPr>
          <w:p w14:paraId="63775B8E"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S.C. CARBID FOX - S.A.</w:t>
            </w:r>
          </w:p>
        </w:tc>
        <w:tc>
          <w:tcPr>
            <w:tcW w:w="1542" w:type="dxa"/>
            <w:tcBorders>
              <w:left w:val="single" w:sz="6" w:space="0" w:color="333333"/>
            </w:tcBorders>
          </w:tcPr>
          <w:p w14:paraId="32F61E44"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105D2D47" w14:textId="26F3E2E8" w:rsidTr="004053FC">
        <w:trPr>
          <w:trHeight w:val="345"/>
          <w:jc w:val="center"/>
        </w:trPr>
        <w:tc>
          <w:tcPr>
            <w:tcW w:w="1620" w:type="dxa"/>
            <w:tcMar>
              <w:top w:w="0" w:type="dxa"/>
              <w:left w:w="0" w:type="dxa"/>
              <w:bottom w:w="0" w:type="dxa"/>
              <w:right w:w="0" w:type="dxa"/>
            </w:tcMar>
            <w:hideMark/>
          </w:tcPr>
          <w:p w14:paraId="249368A8"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4622C92D"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Olt</w:t>
            </w:r>
            <w:proofErr w:type="spellEnd"/>
          </w:p>
        </w:tc>
        <w:tc>
          <w:tcPr>
            <w:tcW w:w="4140" w:type="dxa"/>
            <w:tcBorders>
              <w:top w:val="single" w:sz="6" w:space="0" w:color="333333"/>
              <w:left w:val="single" w:sz="6" w:space="0" w:color="333333"/>
              <w:bottom w:val="single" w:sz="6" w:space="0" w:color="333333"/>
              <w:right w:val="single" w:sz="6" w:space="0" w:color="333333"/>
            </w:tcBorders>
            <w:hideMark/>
          </w:tcPr>
          <w:p w14:paraId="3F8C9C83" w14:textId="77777777"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SMR</w:t>
            </w:r>
          </w:p>
        </w:tc>
        <w:tc>
          <w:tcPr>
            <w:tcW w:w="1542" w:type="dxa"/>
            <w:tcBorders>
              <w:left w:val="single" w:sz="6" w:space="0" w:color="333333"/>
            </w:tcBorders>
          </w:tcPr>
          <w:p w14:paraId="7554ADB4" w14:textId="77777777" w:rsidR="008D70AE" w:rsidRPr="000F28B6" w:rsidRDefault="008D70AE" w:rsidP="00E5506A">
            <w:pPr>
              <w:tabs>
                <w:tab w:val="left" w:pos="284"/>
              </w:tabs>
              <w:spacing w:line="360" w:lineRule="auto"/>
              <w:ind w:left="0"/>
              <w:rPr>
                <w:rFonts w:ascii="Times New Roman" w:hAnsi="Times New Roman"/>
                <w:sz w:val="24"/>
                <w:szCs w:val="24"/>
                <w:lang w:val="en-GB"/>
              </w:rPr>
            </w:pPr>
          </w:p>
        </w:tc>
      </w:tr>
      <w:tr w:rsidR="008D70AE" w:rsidRPr="000F28B6" w14:paraId="71006048" w14:textId="4C98C0E9" w:rsidTr="004053FC">
        <w:trPr>
          <w:trHeight w:val="360"/>
          <w:jc w:val="center"/>
        </w:trPr>
        <w:tc>
          <w:tcPr>
            <w:tcW w:w="1620" w:type="dxa"/>
            <w:tcMar>
              <w:top w:w="0" w:type="dxa"/>
              <w:left w:w="0" w:type="dxa"/>
              <w:bottom w:w="0" w:type="dxa"/>
              <w:right w:w="0" w:type="dxa"/>
            </w:tcMar>
            <w:hideMark/>
          </w:tcPr>
          <w:p w14:paraId="619EAE8B" w14:textId="77777777" w:rsidR="008D70AE" w:rsidRPr="000F28B6" w:rsidRDefault="008D70AE" w:rsidP="00E5506A">
            <w:pPr>
              <w:tabs>
                <w:tab w:val="left" w:pos="284"/>
              </w:tabs>
              <w:spacing w:line="360" w:lineRule="auto"/>
              <w:ind w:left="0"/>
              <w:rPr>
                <w:rFonts w:ascii="Times New Roman" w:hAnsi="Times New Roman"/>
                <w:b/>
                <w:bCs/>
                <w:sz w:val="24"/>
                <w:szCs w:val="24"/>
                <w:lang w:val="en-GB"/>
              </w:rPr>
            </w:pPr>
          </w:p>
        </w:tc>
        <w:tc>
          <w:tcPr>
            <w:tcW w:w="1710" w:type="dxa"/>
            <w:tcBorders>
              <w:top w:val="single" w:sz="6" w:space="0" w:color="333333"/>
              <w:left w:val="single" w:sz="6" w:space="0" w:color="333333"/>
              <w:bottom w:val="single" w:sz="6" w:space="0" w:color="333333"/>
              <w:right w:val="single" w:sz="6" w:space="0" w:color="333333"/>
            </w:tcBorders>
            <w:hideMark/>
          </w:tcPr>
          <w:p w14:paraId="1F9AFBB7" w14:textId="77777777" w:rsidR="008D70AE" w:rsidRPr="000F28B6" w:rsidRDefault="008D70AE" w:rsidP="00E5506A">
            <w:pPr>
              <w:tabs>
                <w:tab w:val="left" w:pos="284"/>
              </w:tabs>
              <w:spacing w:line="360" w:lineRule="auto"/>
              <w:ind w:left="0"/>
              <w:rPr>
                <w:rFonts w:ascii="Times New Roman" w:hAnsi="Times New Roman"/>
                <w:sz w:val="24"/>
                <w:szCs w:val="24"/>
                <w:lang w:val="en-GB"/>
              </w:rPr>
            </w:pPr>
            <w:proofErr w:type="spellStart"/>
            <w:r w:rsidRPr="000F28B6">
              <w:rPr>
                <w:rFonts w:ascii="Times New Roman" w:hAnsi="Times New Roman"/>
                <w:sz w:val="24"/>
                <w:szCs w:val="24"/>
                <w:lang w:val="en-GB"/>
              </w:rPr>
              <w:t>Tulcea</w:t>
            </w:r>
            <w:proofErr w:type="spellEnd"/>
          </w:p>
        </w:tc>
        <w:tc>
          <w:tcPr>
            <w:tcW w:w="4140" w:type="dxa"/>
            <w:tcBorders>
              <w:top w:val="single" w:sz="6" w:space="0" w:color="333333"/>
              <w:left w:val="single" w:sz="6" w:space="0" w:color="333333"/>
              <w:bottom w:val="single" w:sz="6" w:space="0" w:color="333333"/>
              <w:right w:val="single" w:sz="6" w:space="0" w:color="333333"/>
            </w:tcBorders>
            <w:hideMark/>
          </w:tcPr>
          <w:p w14:paraId="17B76091" w14:textId="4B20C153" w:rsidR="008D70AE" w:rsidRPr="000F28B6" w:rsidRDefault="008D70AE" w:rsidP="00E5506A">
            <w:pPr>
              <w:tabs>
                <w:tab w:val="left" w:pos="284"/>
              </w:tabs>
              <w:spacing w:line="360" w:lineRule="auto"/>
              <w:ind w:left="0"/>
              <w:rPr>
                <w:rFonts w:ascii="Times New Roman" w:hAnsi="Times New Roman"/>
                <w:sz w:val="24"/>
                <w:szCs w:val="24"/>
                <w:lang w:val="en-GB"/>
              </w:rPr>
            </w:pPr>
            <w:r w:rsidRPr="000F28B6">
              <w:rPr>
                <w:rFonts w:ascii="Times New Roman" w:hAnsi="Times New Roman"/>
                <w:sz w:val="24"/>
                <w:szCs w:val="24"/>
                <w:lang w:val="en-GB"/>
              </w:rPr>
              <w:t>S.C. FERAL - S.A.</w:t>
            </w:r>
          </w:p>
        </w:tc>
        <w:tc>
          <w:tcPr>
            <w:tcW w:w="1542" w:type="dxa"/>
            <w:tcBorders>
              <w:left w:val="single" w:sz="6" w:space="0" w:color="333333"/>
            </w:tcBorders>
          </w:tcPr>
          <w:p w14:paraId="1B2D817D" w14:textId="04D81934" w:rsidR="008D70AE" w:rsidRPr="000F28B6" w:rsidRDefault="008D70AE" w:rsidP="00E5506A">
            <w:pPr>
              <w:tabs>
                <w:tab w:val="left" w:pos="284"/>
              </w:tabs>
              <w:spacing w:line="360" w:lineRule="auto"/>
              <w:ind w:left="0"/>
              <w:rPr>
                <w:rFonts w:ascii="Times New Roman" w:hAnsi="Times New Roman"/>
                <w:sz w:val="24"/>
                <w:szCs w:val="24"/>
                <w:lang w:val="en-GB"/>
              </w:rPr>
            </w:pPr>
            <w:r>
              <w:rPr>
                <w:rFonts w:ascii="Times New Roman" w:hAnsi="Times New Roman"/>
                <w:sz w:val="24"/>
                <w:szCs w:val="24"/>
                <w:lang w:val="en-GB"/>
              </w:rPr>
              <w:t>”</w:t>
            </w:r>
          </w:p>
        </w:tc>
      </w:tr>
    </w:tbl>
    <w:p w14:paraId="72FB5066" w14:textId="408E3DEE" w:rsidR="009A0FA1" w:rsidRDefault="009A0FA1" w:rsidP="00071987">
      <w:pPr>
        <w:tabs>
          <w:tab w:val="left" w:pos="284"/>
        </w:tabs>
        <w:spacing w:line="360" w:lineRule="auto"/>
        <w:ind w:left="0"/>
        <w:rPr>
          <w:rFonts w:ascii="Times New Roman" w:hAnsi="Times New Roman"/>
          <w:sz w:val="24"/>
          <w:szCs w:val="24"/>
          <w:lang w:val="en-US"/>
        </w:rPr>
      </w:pPr>
    </w:p>
    <w:p w14:paraId="2BEAAA01" w14:textId="77777777" w:rsidR="008D70AE" w:rsidRPr="000F28B6" w:rsidRDefault="008D70AE" w:rsidP="00071987">
      <w:pPr>
        <w:tabs>
          <w:tab w:val="left" w:pos="284"/>
        </w:tabs>
        <w:spacing w:line="360" w:lineRule="auto"/>
        <w:ind w:left="0"/>
        <w:rPr>
          <w:rFonts w:ascii="Times New Roman" w:hAnsi="Times New Roman"/>
          <w:sz w:val="24"/>
          <w:szCs w:val="24"/>
          <w:lang w:val="en-US"/>
        </w:rPr>
      </w:pPr>
    </w:p>
    <w:p w14:paraId="00D88516" w14:textId="04669011" w:rsidR="00B1052A" w:rsidRPr="004053FC" w:rsidRDefault="00B1052A" w:rsidP="004053FC">
      <w:pPr>
        <w:tabs>
          <w:tab w:val="left" w:pos="284"/>
        </w:tabs>
        <w:spacing w:line="360" w:lineRule="auto"/>
        <w:ind w:left="0"/>
        <w:rPr>
          <w:rFonts w:ascii="Times New Roman" w:hAnsi="Times New Roman"/>
          <w:b/>
          <w:sz w:val="24"/>
          <w:szCs w:val="24"/>
        </w:rPr>
      </w:pPr>
      <w:r w:rsidRPr="003B4B90">
        <w:rPr>
          <w:rFonts w:ascii="Times New Roman" w:hAnsi="Times New Roman"/>
          <w:b/>
          <w:bCs/>
          <w:sz w:val="24"/>
          <w:szCs w:val="24"/>
          <w:lang w:val="en-US"/>
        </w:rPr>
        <w:t>Art. III</w:t>
      </w:r>
      <w:r w:rsidR="009456C1" w:rsidRPr="00834915">
        <w:rPr>
          <w:rFonts w:ascii="Times New Roman" w:hAnsi="Times New Roman"/>
          <w:b/>
          <w:bCs/>
          <w:sz w:val="24"/>
          <w:szCs w:val="24"/>
          <w:lang w:val="en-US"/>
        </w:rPr>
        <w:t xml:space="preserve">. </w:t>
      </w:r>
      <w:r w:rsidR="009456C1" w:rsidRPr="00290733">
        <w:rPr>
          <w:rFonts w:ascii="Times New Roman" w:hAnsi="Times New Roman"/>
          <w:b/>
          <w:bCs/>
          <w:sz w:val="24"/>
          <w:szCs w:val="24"/>
          <w:lang w:val="en-US"/>
        </w:rPr>
        <w:t xml:space="preserve">- </w:t>
      </w:r>
      <w:r w:rsidRPr="004053FC">
        <w:rPr>
          <w:rFonts w:ascii="Times New Roman" w:hAnsi="Times New Roman"/>
          <w:b/>
          <w:sz w:val="24"/>
          <w:szCs w:val="24"/>
        </w:rPr>
        <w:t>Leg</w:t>
      </w:r>
      <w:r w:rsidR="009456C1" w:rsidRPr="004053FC">
        <w:rPr>
          <w:rFonts w:ascii="Times New Roman" w:hAnsi="Times New Roman"/>
          <w:b/>
          <w:sz w:val="24"/>
          <w:szCs w:val="24"/>
        </w:rPr>
        <w:t>ea</w:t>
      </w:r>
      <w:r w:rsidRPr="004053FC">
        <w:rPr>
          <w:rFonts w:ascii="Times New Roman" w:hAnsi="Times New Roman"/>
          <w:b/>
          <w:sz w:val="24"/>
          <w:szCs w:val="24"/>
        </w:rPr>
        <w:t xml:space="preserve"> serviciului de salubrizare a localităților nr. 101/2006,</w:t>
      </w:r>
      <w:r w:rsidR="009456C1" w:rsidRPr="004053FC">
        <w:rPr>
          <w:rFonts w:ascii="Times New Roman" w:hAnsi="Times New Roman"/>
          <w:b/>
          <w:sz w:val="24"/>
          <w:szCs w:val="24"/>
        </w:rPr>
        <w:t xml:space="preserve"> republicată în Monitorul Oficial al României, Partea I, nr. 658 din 8 septembrie 2014, cu modificările şi completările ulterioare, </w:t>
      </w:r>
      <w:r w:rsidRPr="004053FC">
        <w:rPr>
          <w:rFonts w:ascii="Times New Roman" w:hAnsi="Times New Roman"/>
          <w:b/>
          <w:sz w:val="24"/>
          <w:szCs w:val="24"/>
        </w:rPr>
        <w:t>se</w:t>
      </w:r>
      <w:r w:rsidR="00444E77" w:rsidRPr="004053FC">
        <w:rPr>
          <w:rFonts w:ascii="Times New Roman" w:hAnsi="Times New Roman"/>
          <w:b/>
          <w:sz w:val="24"/>
          <w:szCs w:val="24"/>
        </w:rPr>
        <w:t xml:space="preserve"> </w:t>
      </w:r>
      <w:r w:rsidRPr="004053FC">
        <w:rPr>
          <w:rFonts w:ascii="Times New Roman" w:hAnsi="Times New Roman"/>
          <w:b/>
          <w:sz w:val="24"/>
          <w:szCs w:val="24"/>
        </w:rPr>
        <w:t>completează după cum urmează:</w:t>
      </w:r>
    </w:p>
    <w:p w14:paraId="5D8C2626" w14:textId="7FDAA303" w:rsidR="00B1052A" w:rsidRPr="004053FC" w:rsidRDefault="009456C1" w:rsidP="004053FC">
      <w:pPr>
        <w:tabs>
          <w:tab w:val="left" w:pos="284"/>
        </w:tabs>
        <w:spacing w:line="360" w:lineRule="auto"/>
        <w:ind w:left="0"/>
        <w:rPr>
          <w:rFonts w:ascii="Times New Roman" w:hAnsi="Times New Roman"/>
          <w:b/>
          <w:bCs/>
          <w:sz w:val="24"/>
          <w:szCs w:val="24"/>
        </w:rPr>
      </w:pPr>
      <w:r>
        <w:rPr>
          <w:rFonts w:ascii="Times New Roman" w:hAnsi="Times New Roman"/>
          <w:b/>
          <w:bCs/>
          <w:sz w:val="24"/>
          <w:szCs w:val="24"/>
        </w:rPr>
        <w:t xml:space="preserve">1. </w:t>
      </w:r>
      <w:r w:rsidR="00B1052A" w:rsidRPr="004053FC">
        <w:rPr>
          <w:rFonts w:ascii="Times New Roman" w:hAnsi="Times New Roman"/>
          <w:b/>
          <w:bCs/>
          <w:sz w:val="24"/>
          <w:szCs w:val="24"/>
        </w:rPr>
        <w:t>La art</w:t>
      </w:r>
      <w:r>
        <w:rPr>
          <w:rFonts w:ascii="Times New Roman" w:hAnsi="Times New Roman"/>
          <w:b/>
          <w:bCs/>
          <w:sz w:val="24"/>
          <w:szCs w:val="24"/>
        </w:rPr>
        <w:t>icolul 2</w:t>
      </w:r>
      <w:r w:rsidR="00B1052A" w:rsidRPr="004053FC">
        <w:rPr>
          <w:rFonts w:ascii="Times New Roman" w:hAnsi="Times New Roman"/>
          <w:b/>
          <w:bCs/>
          <w:sz w:val="24"/>
          <w:szCs w:val="24"/>
        </w:rPr>
        <w:t>, alin</w:t>
      </w:r>
      <w:r>
        <w:rPr>
          <w:rFonts w:ascii="Times New Roman" w:hAnsi="Times New Roman"/>
          <w:b/>
          <w:bCs/>
          <w:sz w:val="24"/>
          <w:szCs w:val="24"/>
        </w:rPr>
        <w:t xml:space="preserve">eatul </w:t>
      </w:r>
      <w:r w:rsidR="00B1052A" w:rsidRPr="004053FC">
        <w:rPr>
          <w:rFonts w:ascii="Times New Roman" w:hAnsi="Times New Roman"/>
          <w:b/>
          <w:bCs/>
          <w:sz w:val="24"/>
          <w:szCs w:val="24"/>
        </w:rPr>
        <w:t>(4), după punctul 1</w:t>
      </w:r>
      <w:r>
        <w:rPr>
          <w:rFonts w:ascii="Times New Roman" w:hAnsi="Times New Roman"/>
          <w:b/>
          <w:bCs/>
          <w:sz w:val="24"/>
          <w:szCs w:val="24"/>
        </w:rPr>
        <w:t>3 s</w:t>
      </w:r>
      <w:r w:rsidR="00B1052A" w:rsidRPr="004053FC">
        <w:rPr>
          <w:rFonts w:ascii="Times New Roman" w:hAnsi="Times New Roman"/>
          <w:b/>
          <w:bCs/>
          <w:sz w:val="24"/>
          <w:szCs w:val="24"/>
        </w:rPr>
        <w:t>e introduc</w:t>
      </w:r>
      <w:r w:rsidR="001F5DE3">
        <w:rPr>
          <w:rFonts w:ascii="Times New Roman" w:hAnsi="Times New Roman"/>
          <w:b/>
          <w:bCs/>
          <w:sz w:val="24"/>
          <w:szCs w:val="24"/>
        </w:rPr>
        <w:t xml:space="preserve"> </w:t>
      </w:r>
      <w:r w:rsidR="00453C15">
        <w:rPr>
          <w:rFonts w:ascii="Times New Roman" w:hAnsi="Times New Roman"/>
          <w:b/>
          <w:bCs/>
          <w:sz w:val="24"/>
          <w:szCs w:val="24"/>
        </w:rPr>
        <w:t>5</w:t>
      </w:r>
      <w:r w:rsidR="00B1052A" w:rsidRPr="004053FC">
        <w:rPr>
          <w:rFonts w:ascii="Times New Roman" w:hAnsi="Times New Roman"/>
          <w:b/>
          <w:bCs/>
          <w:sz w:val="24"/>
          <w:szCs w:val="24"/>
        </w:rPr>
        <w:t xml:space="preserve"> puncte noi, punctele 1</w:t>
      </w:r>
      <w:r>
        <w:rPr>
          <w:rFonts w:ascii="Times New Roman" w:hAnsi="Times New Roman"/>
          <w:b/>
          <w:bCs/>
          <w:sz w:val="24"/>
          <w:szCs w:val="24"/>
        </w:rPr>
        <w:t xml:space="preserve">4 – </w:t>
      </w:r>
      <w:r w:rsidR="00453C15">
        <w:rPr>
          <w:rFonts w:ascii="Times New Roman" w:hAnsi="Times New Roman"/>
          <w:b/>
          <w:bCs/>
          <w:sz w:val="24"/>
          <w:szCs w:val="24"/>
        </w:rPr>
        <w:t>18</w:t>
      </w:r>
      <w:r w:rsidR="00B1052A" w:rsidRPr="004053FC">
        <w:rPr>
          <w:rFonts w:ascii="Times New Roman" w:hAnsi="Times New Roman"/>
          <w:b/>
          <w:bCs/>
          <w:sz w:val="24"/>
          <w:szCs w:val="24"/>
        </w:rPr>
        <w:t xml:space="preserve"> cu următorul cuprins:</w:t>
      </w:r>
    </w:p>
    <w:p w14:paraId="021FC99D" w14:textId="573C32EE" w:rsidR="00453C15" w:rsidRPr="000F28B6" w:rsidRDefault="00D43210" w:rsidP="00453C15">
      <w:pPr>
        <w:pStyle w:val="ListParagraph"/>
        <w:tabs>
          <w:tab w:val="left" w:pos="284"/>
        </w:tabs>
        <w:spacing w:line="360" w:lineRule="auto"/>
        <w:ind w:left="0"/>
        <w:rPr>
          <w:rFonts w:ascii="Times New Roman" w:hAnsi="Times New Roman"/>
          <w:sz w:val="24"/>
          <w:szCs w:val="24"/>
        </w:rPr>
      </w:pPr>
      <w:bookmarkStart w:id="1" w:name="_Hlk125529468"/>
      <w:r w:rsidRPr="000F28B6">
        <w:rPr>
          <w:rFonts w:ascii="Times New Roman" w:hAnsi="Times New Roman"/>
          <w:sz w:val="24"/>
          <w:szCs w:val="24"/>
        </w:rPr>
        <w:t>„</w:t>
      </w:r>
      <w:r w:rsidR="00453C15" w:rsidRPr="000F28B6">
        <w:rPr>
          <w:rFonts w:ascii="Times New Roman" w:hAnsi="Times New Roman"/>
          <w:sz w:val="24"/>
          <w:szCs w:val="24"/>
        </w:rPr>
        <w:t>1</w:t>
      </w:r>
      <w:r w:rsidR="00453C15">
        <w:rPr>
          <w:rFonts w:ascii="Times New Roman" w:hAnsi="Times New Roman"/>
          <w:sz w:val="24"/>
          <w:szCs w:val="24"/>
        </w:rPr>
        <w:t xml:space="preserve">4) refuse derived fuel, denumit în continuare RDF </w:t>
      </w:r>
      <w:r w:rsidR="00453C15" w:rsidRPr="000F28B6">
        <w:rPr>
          <w:rFonts w:ascii="Times New Roman" w:hAnsi="Times New Roman"/>
          <w:sz w:val="24"/>
          <w:szCs w:val="24"/>
        </w:rPr>
        <w:t>– mixtură de deșeuri sortate din hârtie/carton, plastic, lemn, anumite textile etc., deșeuri care au potențial scăzut de reciclare</w:t>
      </w:r>
      <w:r w:rsidR="00453C15">
        <w:rPr>
          <w:rFonts w:ascii="Times New Roman" w:hAnsi="Times New Roman"/>
          <w:sz w:val="24"/>
          <w:szCs w:val="24"/>
        </w:rPr>
        <w:t>;</w:t>
      </w:r>
    </w:p>
    <w:p w14:paraId="188639E5" w14:textId="70B0A146" w:rsidR="00453C15" w:rsidRDefault="00453C15" w:rsidP="00453C15">
      <w:pPr>
        <w:tabs>
          <w:tab w:val="left" w:pos="284"/>
        </w:tabs>
        <w:spacing w:line="360" w:lineRule="auto"/>
        <w:ind w:left="0"/>
        <w:rPr>
          <w:rFonts w:ascii="Times New Roman" w:hAnsi="Times New Roman"/>
          <w:sz w:val="24"/>
          <w:szCs w:val="24"/>
        </w:rPr>
      </w:pPr>
      <w:r>
        <w:rPr>
          <w:rFonts w:ascii="Times New Roman" w:hAnsi="Times New Roman"/>
          <w:sz w:val="24"/>
          <w:szCs w:val="24"/>
        </w:rPr>
        <w:t>15</w:t>
      </w:r>
      <w:r w:rsidRPr="000F28B6">
        <w:rPr>
          <w:rFonts w:ascii="Times New Roman" w:hAnsi="Times New Roman"/>
          <w:sz w:val="24"/>
          <w:szCs w:val="24"/>
        </w:rPr>
        <w:t>) solid recovered fuel</w:t>
      </w:r>
      <w:r>
        <w:rPr>
          <w:rFonts w:ascii="Times New Roman" w:hAnsi="Times New Roman"/>
          <w:sz w:val="24"/>
          <w:szCs w:val="24"/>
        </w:rPr>
        <w:t>,</w:t>
      </w:r>
      <w:r w:rsidRPr="00453C15">
        <w:rPr>
          <w:rFonts w:ascii="Times New Roman" w:hAnsi="Times New Roman"/>
          <w:sz w:val="24"/>
          <w:szCs w:val="24"/>
        </w:rPr>
        <w:t xml:space="preserve"> denumit în continuare </w:t>
      </w:r>
      <w:r>
        <w:rPr>
          <w:rFonts w:ascii="Times New Roman" w:hAnsi="Times New Roman"/>
          <w:sz w:val="24"/>
          <w:szCs w:val="24"/>
        </w:rPr>
        <w:t>SRF</w:t>
      </w:r>
      <w:r w:rsidRPr="000F28B6">
        <w:rPr>
          <w:rFonts w:ascii="Times New Roman" w:hAnsi="Times New Roman"/>
          <w:sz w:val="24"/>
          <w:szCs w:val="24"/>
        </w:rPr>
        <w:t xml:space="preserve"> – deșeuri reziduale uscate prin tratare aerobică (bio-uscare), din care au fost extrase componentele cu valoare calorifică scăzută și deșeurile inerte.”</w:t>
      </w:r>
    </w:p>
    <w:p w14:paraId="0F52F943" w14:textId="6EB2F703" w:rsidR="00B1052A" w:rsidRPr="000F28B6" w:rsidRDefault="009456C1" w:rsidP="00B1052A">
      <w:pPr>
        <w:pStyle w:val="ListParagraph"/>
        <w:tabs>
          <w:tab w:val="left" w:pos="284"/>
        </w:tabs>
        <w:spacing w:line="360" w:lineRule="auto"/>
        <w:ind w:left="0"/>
        <w:rPr>
          <w:rFonts w:ascii="Times New Roman" w:hAnsi="Times New Roman"/>
          <w:sz w:val="24"/>
          <w:szCs w:val="24"/>
        </w:rPr>
      </w:pPr>
      <w:r w:rsidRPr="000F28B6">
        <w:rPr>
          <w:rFonts w:ascii="Times New Roman" w:hAnsi="Times New Roman"/>
          <w:sz w:val="24"/>
          <w:szCs w:val="24"/>
        </w:rPr>
        <w:t>1</w:t>
      </w:r>
      <w:r w:rsidR="00453C15">
        <w:rPr>
          <w:rFonts w:ascii="Times New Roman" w:hAnsi="Times New Roman"/>
          <w:sz w:val="24"/>
          <w:szCs w:val="24"/>
        </w:rPr>
        <w:t>6</w:t>
      </w:r>
      <w:r w:rsidR="00B1052A" w:rsidRPr="000F28B6">
        <w:rPr>
          <w:rFonts w:ascii="Times New Roman" w:hAnsi="Times New Roman"/>
          <w:sz w:val="24"/>
          <w:szCs w:val="24"/>
        </w:rPr>
        <w:t>) instalație integrată de tratare</w:t>
      </w:r>
      <w:r>
        <w:rPr>
          <w:rFonts w:ascii="Times New Roman" w:hAnsi="Times New Roman"/>
          <w:sz w:val="24"/>
          <w:szCs w:val="24"/>
        </w:rPr>
        <w:t xml:space="preserve"> </w:t>
      </w:r>
      <w:r w:rsidR="001F5DE3">
        <w:rPr>
          <w:rFonts w:ascii="Times New Roman" w:hAnsi="Times New Roman"/>
          <w:sz w:val="24"/>
          <w:szCs w:val="24"/>
        </w:rPr>
        <w:t>– i</w:t>
      </w:r>
      <w:r w:rsidR="00B1052A" w:rsidRPr="000F28B6">
        <w:rPr>
          <w:rFonts w:ascii="Times New Roman" w:hAnsi="Times New Roman"/>
          <w:sz w:val="24"/>
          <w:szCs w:val="24"/>
        </w:rPr>
        <w:t>nstalație de tratare a deșeurilor care implică cel puțin două activități ale serviciului de salubrizare și care asigură tratarea deșeurilor colectate separat, prin tratare anaerobă și/sau aerobă și prin tratare mecano-biologică. În funcție de fluxul tehnologic / caracteristicile tehnologice ale instalației integrate de tratare, materialul de ieșire din instalație poate fi, după caz: deșeu cu potențial de valorificare prin reciclare, deșeu organic stabilizat / inert biologic, inclusiv CLO, amestec de deșeuri cu potențial energetic</w:t>
      </w:r>
      <w:r w:rsidR="00453C15">
        <w:rPr>
          <w:rFonts w:ascii="Times New Roman" w:hAnsi="Times New Roman"/>
          <w:sz w:val="24"/>
          <w:szCs w:val="24"/>
        </w:rPr>
        <w:t xml:space="preserve"> RDF/SRF</w:t>
      </w:r>
      <w:r w:rsidR="00B1052A" w:rsidRPr="000F28B6">
        <w:rPr>
          <w:rFonts w:ascii="Times New Roman" w:hAnsi="Times New Roman"/>
          <w:sz w:val="24"/>
          <w:szCs w:val="24"/>
        </w:rPr>
        <w:t xml:space="preserve"> și/sau biogaz</w:t>
      </w:r>
      <w:r w:rsidR="001F5DE3">
        <w:rPr>
          <w:rFonts w:ascii="Times New Roman" w:hAnsi="Times New Roman"/>
          <w:sz w:val="24"/>
          <w:szCs w:val="24"/>
        </w:rPr>
        <w:t>;</w:t>
      </w:r>
    </w:p>
    <w:p w14:paraId="7D313134" w14:textId="3EF20757" w:rsidR="00B1052A" w:rsidRPr="000F28B6" w:rsidRDefault="00B1052A" w:rsidP="00B1052A">
      <w:pPr>
        <w:pStyle w:val="ListParagraph"/>
        <w:tabs>
          <w:tab w:val="left" w:pos="284"/>
        </w:tabs>
        <w:spacing w:line="360" w:lineRule="auto"/>
        <w:ind w:left="0"/>
        <w:rPr>
          <w:rFonts w:ascii="Times New Roman" w:hAnsi="Times New Roman"/>
          <w:sz w:val="24"/>
          <w:szCs w:val="24"/>
        </w:rPr>
      </w:pPr>
      <w:r w:rsidRPr="000F28B6">
        <w:rPr>
          <w:rFonts w:ascii="Times New Roman" w:hAnsi="Times New Roman"/>
          <w:sz w:val="24"/>
          <w:szCs w:val="24"/>
        </w:rPr>
        <w:t>1</w:t>
      </w:r>
      <w:r w:rsidR="00453C15">
        <w:rPr>
          <w:rFonts w:ascii="Times New Roman" w:hAnsi="Times New Roman"/>
          <w:sz w:val="24"/>
          <w:szCs w:val="24"/>
        </w:rPr>
        <w:t>7</w:t>
      </w:r>
      <w:r w:rsidRPr="000F28B6">
        <w:rPr>
          <w:rFonts w:ascii="Times New Roman" w:hAnsi="Times New Roman"/>
          <w:sz w:val="24"/>
          <w:szCs w:val="24"/>
        </w:rPr>
        <w:t>) tratare mecanico/biologică –</w:t>
      </w:r>
      <w:r w:rsidR="001F5DE3">
        <w:rPr>
          <w:rFonts w:ascii="Times New Roman" w:hAnsi="Times New Roman"/>
          <w:sz w:val="24"/>
          <w:szCs w:val="24"/>
        </w:rPr>
        <w:t xml:space="preserve"> </w:t>
      </w:r>
      <w:r w:rsidRPr="000F28B6">
        <w:rPr>
          <w:rFonts w:ascii="Times New Roman" w:hAnsi="Times New Roman"/>
          <w:sz w:val="24"/>
          <w:szCs w:val="24"/>
        </w:rPr>
        <w:t>tratarea deșeurilor municipale reziduale, deșeurilor nesortate sau orice alte deșeuri biologice improprii pentru compostare sau digestie anaerobă pentru a fi stabilizate și pentru a reduce volumul deșeurilor</w:t>
      </w:r>
      <w:r w:rsidR="001F5DE3">
        <w:rPr>
          <w:rFonts w:ascii="Times New Roman" w:hAnsi="Times New Roman"/>
          <w:sz w:val="24"/>
          <w:szCs w:val="24"/>
        </w:rPr>
        <w:t>;</w:t>
      </w:r>
    </w:p>
    <w:p w14:paraId="63398060" w14:textId="186E7CFA" w:rsidR="00B1052A" w:rsidRPr="000F28B6" w:rsidRDefault="00B1052A" w:rsidP="00B1052A">
      <w:pPr>
        <w:pStyle w:val="ListParagraph"/>
        <w:tabs>
          <w:tab w:val="left" w:pos="284"/>
        </w:tabs>
        <w:spacing w:line="360" w:lineRule="auto"/>
        <w:ind w:left="0"/>
        <w:rPr>
          <w:rFonts w:ascii="Times New Roman" w:hAnsi="Times New Roman"/>
          <w:sz w:val="24"/>
          <w:szCs w:val="24"/>
        </w:rPr>
      </w:pPr>
      <w:r w:rsidRPr="000F28B6">
        <w:rPr>
          <w:rFonts w:ascii="Times New Roman" w:hAnsi="Times New Roman"/>
          <w:sz w:val="24"/>
          <w:szCs w:val="24"/>
        </w:rPr>
        <w:t>1</w:t>
      </w:r>
      <w:r w:rsidR="00453C15">
        <w:rPr>
          <w:rFonts w:ascii="Times New Roman" w:hAnsi="Times New Roman"/>
          <w:sz w:val="24"/>
          <w:szCs w:val="24"/>
        </w:rPr>
        <w:t>8</w:t>
      </w:r>
      <w:r w:rsidRPr="000F28B6">
        <w:rPr>
          <w:rFonts w:ascii="Times New Roman" w:hAnsi="Times New Roman"/>
          <w:sz w:val="24"/>
          <w:szCs w:val="24"/>
        </w:rPr>
        <w:t>) deșeuri municipale reziduale</w:t>
      </w:r>
      <w:r w:rsidR="001F5DE3">
        <w:rPr>
          <w:rFonts w:ascii="Times New Roman" w:hAnsi="Times New Roman"/>
          <w:sz w:val="24"/>
          <w:szCs w:val="24"/>
        </w:rPr>
        <w:t xml:space="preserve"> – f</w:t>
      </w:r>
      <w:r w:rsidRPr="000F28B6">
        <w:rPr>
          <w:rFonts w:ascii="Times New Roman" w:hAnsi="Times New Roman"/>
          <w:sz w:val="24"/>
          <w:szCs w:val="24"/>
        </w:rPr>
        <w:t xml:space="preserve">racția de deșeuri municipale rămasă după separarea la sursă a fracțiunilor de deșeuri municipale, cum ar fi biodeșeurile, deșeurile de </w:t>
      </w:r>
      <w:r w:rsidR="004B5E59" w:rsidRPr="000F28B6">
        <w:rPr>
          <w:rFonts w:ascii="Times New Roman" w:hAnsi="Times New Roman"/>
          <w:sz w:val="24"/>
          <w:szCs w:val="24"/>
        </w:rPr>
        <w:t xml:space="preserve">plastic, </w:t>
      </w:r>
      <w:r w:rsidRPr="000F28B6">
        <w:rPr>
          <w:rFonts w:ascii="Times New Roman" w:hAnsi="Times New Roman"/>
          <w:sz w:val="24"/>
          <w:szCs w:val="24"/>
        </w:rPr>
        <w:t>hârtie și carton, metale, sticlă, improprii pentru producerea de compost deoarece sunt amestecate, combinate sau contaminate cu produse sau materiale potențial poluante</w:t>
      </w:r>
      <w:r w:rsidR="00910635">
        <w:rPr>
          <w:rFonts w:ascii="Times New Roman" w:hAnsi="Times New Roman"/>
          <w:sz w:val="24"/>
          <w:szCs w:val="24"/>
        </w:rPr>
        <w:t>.”</w:t>
      </w:r>
    </w:p>
    <w:p w14:paraId="293C6CE3" w14:textId="01AC98EA" w:rsidR="00FB2A8F" w:rsidRDefault="00FB2A8F" w:rsidP="00B1052A">
      <w:pPr>
        <w:tabs>
          <w:tab w:val="left" w:pos="284"/>
        </w:tabs>
        <w:spacing w:line="360" w:lineRule="auto"/>
        <w:ind w:left="0"/>
        <w:rPr>
          <w:rFonts w:ascii="Times New Roman" w:hAnsi="Times New Roman"/>
          <w:b/>
          <w:sz w:val="24"/>
          <w:szCs w:val="24"/>
        </w:rPr>
      </w:pPr>
      <w:r w:rsidRPr="00F255FF">
        <w:rPr>
          <w:rFonts w:ascii="Times New Roman" w:hAnsi="Times New Roman"/>
          <w:b/>
          <w:sz w:val="24"/>
          <w:szCs w:val="24"/>
        </w:rPr>
        <w:t xml:space="preserve">Art. IV. </w:t>
      </w:r>
      <w:r w:rsidR="009760CD">
        <w:rPr>
          <w:rFonts w:ascii="Times New Roman" w:hAnsi="Times New Roman"/>
          <w:b/>
          <w:sz w:val="24"/>
          <w:szCs w:val="24"/>
        </w:rPr>
        <w:t xml:space="preserve">- </w:t>
      </w:r>
      <w:r w:rsidRPr="00F255FF">
        <w:rPr>
          <w:rFonts w:ascii="Times New Roman" w:hAnsi="Times New Roman"/>
          <w:b/>
          <w:sz w:val="24"/>
          <w:szCs w:val="24"/>
        </w:rPr>
        <w:t>Legea nr. 181/2020 privind gestionarea deșeurilor nepericuloase compostabile</w:t>
      </w:r>
      <w:r w:rsidR="009760CD" w:rsidRPr="00F255FF">
        <w:rPr>
          <w:rFonts w:ascii="Times New Roman" w:hAnsi="Times New Roman"/>
          <w:b/>
          <w:sz w:val="24"/>
          <w:szCs w:val="24"/>
        </w:rPr>
        <w:t xml:space="preserve">, publicată în Monitorul Oficial al României, Partea I, nr. 762 din 20 august 2020, </w:t>
      </w:r>
      <w:r w:rsidRPr="00F255FF">
        <w:rPr>
          <w:rFonts w:ascii="Times New Roman" w:hAnsi="Times New Roman"/>
          <w:b/>
          <w:sz w:val="24"/>
          <w:szCs w:val="24"/>
        </w:rPr>
        <w:t xml:space="preserve">se modifică după cum urmează: </w:t>
      </w:r>
    </w:p>
    <w:p w14:paraId="60E498B9" w14:textId="75B76CE5" w:rsidR="009760CD" w:rsidRDefault="009760CD" w:rsidP="00B1052A">
      <w:pPr>
        <w:tabs>
          <w:tab w:val="left" w:pos="284"/>
        </w:tabs>
        <w:spacing w:line="360" w:lineRule="auto"/>
        <w:ind w:left="0"/>
        <w:rPr>
          <w:rFonts w:ascii="Times New Roman" w:hAnsi="Times New Roman"/>
          <w:b/>
          <w:sz w:val="24"/>
          <w:szCs w:val="24"/>
        </w:rPr>
      </w:pPr>
      <w:r w:rsidRPr="009760CD">
        <w:rPr>
          <w:rFonts w:ascii="Times New Roman" w:hAnsi="Times New Roman"/>
          <w:b/>
          <w:sz w:val="24"/>
          <w:szCs w:val="24"/>
        </w:rPr>
        <w:t>1. La articolul 2, alineatul (2)</w:t>
      </w:r>
      <w:r>
        <w:rPr>
          <w:rFonts w:ascii="Times New Roman" w:hAnsi="Times New Roman"/>
          <w:b/>
          <w:sz w:val="24"/>
          <w:szCs w:val="24"/>
        </w:rPr>
        <w:t xml:space="preserve"> se modifică și va avea următorul cuprins:</w:t>
      </w:r>
    </w:p>
    <w:p w14:paraId="47B7EACC" w14:textId="1525F267" w:rsidR="009760CD" w:rsidRDefault="009760CD" w:rsidP="00B1052A">
      <w:pPr>
        <w:tabs>
          <w:tab w:val="left" w:pos="284"/>
        </w:tabs>
        <w:spacing w:line="360" w:lineRule="auto"/>
        <w:ind w:left="0"/>
        <w:rPr>
          <w:rFonts w:ascii="Times New Roman" w:hAnsi="Times New Roman"/>
          <w:sz w:val="24"/>
          <w:szCs w:val="24"/>
        </w:rPr>
      </w:pPr>
      <w:r w:rsidRPr="00F255FF">
        <w:rPr>
          <w:rFonts w:ascii="Times New Roman" w:hAnsi="Times New Roman"/>
          <w:sz w:val="24"/>
          <w:szCs w:val="24"/>
        </w:rPr>
        <w:lastRenderedPageBreak/>
        <w:t xml:space="preserve">„(2) Criteriile de conformitate pentru deşeurile biodegradabile, aditivi şi agenţi auxiliari care urmează a fi supuşi compostării şi digestiei anaerobe sunt definite în Normele tehnice privind activitatea de compostare şi digestie anaerobă, denumite în continuare Norme tehnice, emise prin ordin </w:t>
      </w:r>
      <w:r>
        <w:rPr>
          <w:rFonts w:ascii="Times New Roman" w:hAnsi="Times New Roman"/>
          <w:sz w:val="24"/>
          <w:szCs w:val="24"/>
        </w:rPr>
        <w:t>al minist</w:t>
      </w:r>
      <w:r w:rsidRPr="00F255FF">
        <w:rPr>
          <w:rFonts w:ascii="Times New Roman" w:hAnsi="Times New Roman"/>
          <w:sz w:val="24"/>
          <w:szCs w:val="24"/>
        </w:rPr>
        <w:t>rul</w:t>
      </w:r>
      <w:r>
        <w:rPr>
          <w:rFonts w:ascii="Times New Roman" w:hAnsi="Times New Roman"/>
          <w:sz w:val="24"/>
          <w:szCs w:val="24"/>
        </w:rPr>
        <w:t>ui a</w:t>
      </w:r>
      <w:r w:rsidRPr="00F255FF">
        <w:rPr>
          <w:rFonts w:ascii="Times New Roman" w:hAnsi="Times New Roman"/>
          <w:sz w:val="24"/>
          <w:szCs w:val="24"/>
        </w:rPr>
        <w:t xml:space="preserve">griculturii şi </w:t>
      </w:r>
      <w:r>
        <w:rPr>
          <w:rFonts w:ascii="Times New Roman" w:hAnsi="Times New Roman"/>
          <w:sz w:val="24"/>
          <w:szCs w:val="24"/>
        </w:rPr>
        <w:t>d</w:t>
      </w:r>
      <w:r w:rsidRPr="00F255FF">
        <w:rPr>
          <w:rFonts w:ascii="Times New Roman" w:hAnsi="Times New Roman"/>
          <w:sz w:val="24"/>
          <w:szCs w:val="24"/>
        </w:rPr>
        <w:t xml:space="preserve">ezvoltării </w:t>
      </w:r>
      <w:r>
        <w:rPr>
          <w:rFonts w:ascii="Times New Roman" w:hAnsi="Times New Roman"/>
          <w:sz w:val="24"/>
          <w:szCs w:val="24"/>
        </w:rPr>
        <w:t>r</w:t>
      </w:r>
      <w:r w:rsidRPr="00F255FF">
        <w:rPr>
          <w:rFonts w:ascii="Times New Roman" w:hAnsi="Times New Roman"/>
          <w:sz w:val="24"/>
          <w:szCs w:val="24"/>
        </w:rPr>
        <w:t>urale</w:t>
      </w:r>
      <w:r>
        <w:rPr>
          <w:rFonts w:ascii="Times New Roman" w:hAnsi="Times New Roman"/>
          <w:sz w:val="24"/>
          <w:szCs w:val="24"/>
        </w:rPr>
        <w:t xml:space="preserve"> pentru produsul de calitate foarte bună și bună din categoriile de folosință A și B prevăzute la art. 8 alin. (1) lit. a) și b) și </w:t>
      </w:r>
      <w:r w:rsidRPr="009760CD">
        <w:rPr>
          <w:rFonts w:ascii="Times New Roman" w:hAnsi="Times New Roman"/>
          <w:sz w:val="24"/>
          <w:szCs w:val="24"/>
        </w:rPr>
        <w:t>prin ordin al ministrului</w:t>
      </w:r>
      <w:r>
        <w:rPr>
          <w:rFonts w:ascii="Times New Roman" w:hAnsi="Times New Roman"/>
          <w:sz w:val="24"/>
          <w:szCs w:val="24"/>
        </w:rPr>
        <w:t xml:space="preserve"> mediului, apelor și pădurilor pentru produsul de calitate inferioară din categoria de folosință C prevăzut</w:t>
      </w:r>
      <w:r w:rsidR="00B92EC2">
        <w:rPr>
          <w:rFonts w:ascii="Times New Roman" w:hAnsi="Times New Roman"/>
          <w:sz w:val="24"/>
          <w:szCs w:val="24"/>
        </w:rPr>
        <w:t>ă</w:t>
      </w:r>
      <w:r>
        <w:rPr>
          <w:rFonts w:ascii="Times New Roman" w:hAnsi="Times New Roman"/>
          <w:sz w:val="24"/>
          <w:szCs w:val="24"/>
        </w:rPr>
        <w:t xml:space="preserve"> la art. 8 alin. (1) lit. c).”</w:t>
      </w:r>
    </w:p>
    <w:p w14:paraId="05E814A5" w14:textId="5E203D1C" w:rsidR="00B92EC2" w:rsidRPr="00F255FF" w:rsidRDefault="00B92EC2" w:rsidP="00B1052A">
      <w:pPr>
        <w:tabs>
          <w:tab w:val="left" w:pos="284"/>
        </w:tabs>
        <w:spacing w:line="360" w:lineRule="auto"/>
        <w:ind w:left="0"/>
        <w:rPr>
          <w:rFonts w:ascii="Times New Roman" w:hAnsi="Times New Roman"/>
          <w:b/>
          <w:sz w:val="24"/>
          <w:szCs w:val="24"/>
        </w:rPr>
      </w:pPr>
      <w:r w:rsidRPr="00F255FF">
        <w:rPr>
          <w:rFonts w:ascii="Times New Roman" w:hAnsi="Times New Roman"/>
          <w:b/>
          <w:sz w:val="24"/>
          <w:szCs w:val="24"/>
        </w:rPr>
        <w:t>2. La articolul 17, alineatul (1) se modifică și va avea următorul cuprins:</w:t>
      </w:r>
    </w:p>
    <w:p w14:paraId="6DCC9FED" w14:textId="059A663E" w:rsidR="00B92EC2" w:rsidRPr="009760CD" w:rsidRDefault="00B92EC2" w:rsidP="00B1052A">
      <w:pPr>
        <w:tabs>
          <w:tab w:val="left" w:pos="284"/>
        </w:tabs>
        <w:spacing w:line="360" w:lineRule="auto"/>
        <w:ind w:left="0"/>
        <w:rPr>
          <w:rFonts w:ascii="Times New Roman" w:hAnsi="Times New Roman"/>
          <w:sz w:val="24"/>
          <w:szCs w:val="24"/>
        </w:rPr>
      </w:pPr>
      <w:r>
        <w:rPr>
          <w:rFonts w:ascii="Times New Roman" w:hAnsi="Times New Roman"/>
          <w:sz w:val="24"/>
          <w:szCs w:val="24"/>
        </w:rPr>
        <w:t xml:space="preserve">„(1) Normele tehnice prevăzute la art. </w:t>
      </w:r>
      <w:r w:rsidR="00E603DC">
        <w:rPr>
          <w:rFonts w:ascii="Times New Roman" w:hAnsi="Times New Roman"/>
          <w:sz w:val="24"/>
          <w:szCs w:val="24"/>
        </w:rPr>
        <w:t>2 alin. (2) vor fi elaborate ș</w:t>
      </w:r>
      <w:r w:rsidR="001B1772" w:rsidRPr="001B1772">
        <w:rPr>
          <w:rFonts w:ascii="Times New Roman" w:hAnsi="Times New Roman"/>
          <w:sz w:val="24"/>
          <w:szCs w:val="24"/>
        </w:rPr>
        <w:t xml:space="preserve">i aprobate </w:t>
      </w:r>
      <w:r w:rsidR="001B1772">
        <w:rPr>
          <w:rFonts w:ascii="Times New Roman" w:hAnsi="Times New Roman"/>
          <w:sz w:val="24"/>
          <w:szCs w:val="24"/>
        </w:rPr>
        <w:t>până la data de 31 decembrie 2023.</w:t>
      </w:r>
    </w:p>
    <w:bookmarkEnd w:id="1"/>
    <w:p w14:paraId="56B13985" w14:textId="77777777" w:rsidR="001F59F9" w:rsidRPr="000F28B6" w:rsidRDefault="001F59F9" w:rsidP="00B1052A">
      <w:pPr>
        <w:tabs>
          <w:tab w:val="left" w:pos="284"/>
        </w:tabs>
        <w:spacing w:line="360" w:lineRule="auto"/>
        <w:ind w:left="0"/>
        <w:rPr>
          <w:rFonts w:ascii="Times New Roman" w:hAnsi="Times New Roman"/>
          <w:color w:val="FF0000"/>
          <w:sz w:val="24"/>
          <w:szCs w:val="24"/>
          <w:lang w:val="en-US"/>
        </w:rPr>
      </w:pPr>
    </w:p>
    <w:p w14:paraId="765BFEE0" w14:textId="5326D451" w:rsidR="007716CC" w:rsidRPr="000F28B6" w:rsidRDefault="002A5C4D" w:rsidP="00535831">
      <w:pPr>
        <w:spacing w:after="0" w:line="360" w:lineRule="auto"/>
        <w:ind w:left="0" w:right="337"/>
        <w:jc w:val="center"/>
        <w:rPr>
          <w:rFonts w:ascii="Times New Roman" w:hAnsi="Times New Roman"/>
          <w:sz w:val="24"/>
          <w:szCs w:val="24"/>
        </w:rPr>
      </w:pPr>
      <w:r w:rsidRPr="000F28B6">
        <w:rPr>
          <w:rFonts w:ascii="Times New Roman" w:hAnsi="Times New Roman"/>
          <w:b/>
          <w:sz w:val="24"/>
          <w:szCs w:val="24"/>
        </w:rPr>
        <w:t>PRIM</w:t>
      </w:r>
      <w:r w:rsidR="00663DFF" w:rsidRPr="000F28B6">
        <w:rPr>
          <w:rFonts w:ascii="Times New Roman" w:hAnsi="Times New Roman"/>
          <w:b/>
          <w:sz w:val="24"/>
          <w:szCs w:val="24"/>
        </w:rPr>
        <w:t xml:space="preserve"> </w:t>
      </w:r>
      <w:r w:rsidRPr="000F28B6">
        <w:rPr>
          <w:rFonts w:ascii="Times New Roman" w:hAnsi="Times New Roman"/>
          <w:b/>
          <w:sz w:val="24"/>
          <w:szCs w:val="24"/>
        </w:rPr>
        <w:t>-</w:t>
      </w:r>
      <w:r w:rsidR="00663DFF" w:rsidRPr="000F28B6">
        <w:rPr>
          <w:rFonts w:ascii="Times New Roman" w:hAnsi="Times New Roman"/>
          <w:b/>
          <w:sz w:val="24"/>
          <w:szCs w:val="24"/>
        </w:rPr>
        <w:t xml:space="preserve"> </w:t>
      </w:r>
      <w:r w:rsidRPr="000F28B6">
        <w:rPr>
          <w:rFonts w:ascii="Times New Roman" w:hAnsi="Times New Roman"/>
          <w:b/>
          <w:sz w:val="24"/>
          <w:szCs w:val="24"/>
        </w:rPr>
        <w:t>MINISTRU</w:t>
      </w:r>
    </w:p>
    <w:p w14:paraId="0DA6E522" w14:textId="4B2D5D2C" w:rsidR="003B1D36" w:rsidRPr="000F28B6" w:rsidRDefault="00C9645D" w:rsidP="00D13565">
      <w:pPr>
        <w:spacing w:after="0" w:line="360" w:lineRule="auto"/>
        <w:ind w:left="0" w:right="337"/>
        <w:jc w:val="center"/>
        <w:rPr>
          <w:rFonts w:ascii="Times New Roman" w:hAnsi="Times New Roman"/>
          <w:b/>
          <w:sz w:val="24"/>
          <w:szCs w:val="24"/>
        </w:rPr>
      </w:pPr>
      <w:r>
        <w:rPr>
          <w:rFonts w:ascii="Times New Roman" w:hAnsi="Times New Roman"/>
          <w:b/>
          <w:sz w:val="24"/>
          <w:szCs w:val="24"/>
        </w:rPr>
        <w:t>MARCEL CIOLACU</w:t>
      </w:r>
    </w:p>
    <w:sectPr w:rsidR="003B1D36" w:rsidRPr="000F28B6" w:rsidSect="005A52C0">
      <w:headerReference w:type="even" r:id="rId9"/>
      <w:headerReference w:type="default" r:id="rId10"/>
      <w:footerReference w:type="even" r:id="rId11"/>
      <w:footerReference w:type="default" r:id="rId12"/>
      <w:headerReference w:type="first" r:id="rId13"/>
      <w:footerReference w:type="first" r:id="rId14"/>
      <w:pgSz w:w="11906" w:h="16838"/>
      <w:pgMar w:top="630" w:right="836" w:bottom="1134" w:left="9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5523" w14:textId="77777777" w:rsidR="008546BA" w:rsidRDefault="008546BA" w:rsidP="00361F6E">
      <w:pPr>
        <w:spacing w:after="0" w:line="240" w:lineRule="auto"/>
      </w:pPr>
      <w:r>
        <w:separator/>
      </w:r>
    </w:p>
  </w:endnote>
  <w:endnote w:type="continuationSeparator" w:id="0">
    <w:p w14:paraId="424D880D" w14:textId="77777777" w:rsidR="008546BA" w:rsidRDefault="008546BA" w:rsidP="0036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5071" w14:textId="77777777" w:rsidR="00C9645D" w:rsidRDefault="00C96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282" w14:textId="77777777" w:rsidR="00C9645D" w:rsidRDefault="00C96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E903" w14:textId="77777777" w:rsidR="00C9645D" w:rsidRDefault="00C9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AA92" w14:textId="77777777" w:rsidR="008546BA" w:rsidRDefault="008546BA" w:rsidP="00361F6E">
      <w:pPr>
        <w:spacing w:after="0" w:line="240" w:lineRule="auto"/>
      </w:pPr>
      <w:r>
        <w:separator/>
      </w:r>
    </w:p>
  </w:footnote>
  <w:footnote w:type="continuationSeparator" w:id="0">
    <w:p w14:paraId="26D27D81" w14:textId="77777777" w:rsidR="008546BA" w:rsidRDefault="008546BA" w:rsidP="00361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7277" w14:textId="070AC17D" w:rsidR="00361F6E" w:rsidRDefault="00000000">
    <w:pPr>
      <w:pStyle w:val="Header"/>
    </w:pPr>
    <w:r>
      <w:rPr>
        <w:noProof/>
      </w:rPr>
      <w:pict w14:anchorId="1F011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96204" o:spid="_x0000_s1026" type="#_x0000_t136" style="position:absolute;left:0;text-align:left;margin-left:0;margin-top:0;width:552.7pt;height:157.9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D861" w14:textId="48E9FF26" w:rsidR="00361F6E" w:rsidRDefault="00000000">
    <w:pPr>
      <w:pStyle w:val="Header"/>
    </w:pPr>
    <w:r>
      <w:rPr>
        <w:noProof/>
      </w:rPr>
      <w:pict w14:anchorId="10668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96205" o:spid="_x0000_s1027" type="#_x0000_t136" style="position:absolute;left:0;text-align:left;margin-left:0;margin-top:0;width:552.7pt;height:157.9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DF4A" w14:textId="62DFE670" w:rsidR="00361F6E" w:rsidRDefault="00000000">
    <w:pPr>
      <w:pStyle w:val="Header"/>
    </w:pPr>
    <w:r>
      <w:rPr>
        <w:noProof/>
      </w:rPr>
      <w:pict w14:anchorId="15010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96203" o:spid="_x0000_s1025" type="#_x0000_t136" style="position:absolute;left:0;text-align:left;margin-left:0;margin-top:0;width:552.7pt;height:157.9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9D7"/>
    <w:multiLevelType w:val="hybridMultilevel"/>
    <w:tmpl w:val="28E42DB6"/>
    <w:lvl w:ilvl="0" w:tplc="9DBEF978">
      <w:numFmt w:val="bullet"/>
      <w:lvlText w:val="-"/>
      <w:lvlJc w:val="left"/>
      <w:pPr>
        <w:ind w:left="720" w:hanging="360"/>
      </w:pPr>
      <w:rPr>
        <w:rFonts w:ascii="Trebuchet MS" w:eastAsiaTheme="minorHAns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B35188"/>
    <w:multiLevelType w:val="hybridMultilevel"/>
    <w:tmpl w:val="8798404A"/>
    <w:lvl w:ilvl="0" w:tplc="7B641B44">
      <w:numFmt w:val="bullet"/>
      <w:lvlText w:val="-"/>
      <w:lvlJc w:val="left"/>
      <w:pPr>
        <w:ind w:left="2061" w:hanging="360"/>
      </w:pPr>
      <w:rPr>
        <w:rFonts w:ascii="Trebuchet MS" w:eastAsiaTheme="minorHAnsi" w:hAnsi="Trebuchet MS" w:cs="Times New Roman"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2" w15:restartNumberingAfterBreak="0">
    <w:nsid w:val="0DDD055E"/>
    <w:multiLevelType w:val="hybridMultilevel"/>
    <w:tmpl w:val="A956DF7C"/>
    <w:lvl w:ilvl="0" w:tplc="07220118">
      <w:start w:val="1"/>
      <w:numFmt w:val="decimal"/>
      <w:lvlText w:val="%1."/>
      <w:lvlJc w:val="left"/>
      <w:pPr>
        <w:ind w:left="1211" w:hanging="360"/>
      </w:pPr>
      <w:rPr>
        <w:b/>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 w15:restartNumberingAfterBreak="0">
    <w:nsid w:val="0F7352D5"/>
    <w:multiLevelType w:val="hybridMultilevel"/>
    <w:tmpl w:val="5972FAA4"/>
    <w:lvl w:ilvl="0" w:tplc="BB9004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244F"/>
    <w:multiLevelType w:val="hybridMultilevel"/>
    <w:tmpl w:val="5D1EE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12555"/>
    <w:multiLevelType w:val="hybridMultilevel"/>
    <w:tmpl w:val="E244F17E"/>
    <w:lvl w:ilvl="0" w:tplc="2AB02C1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516025"/>
    <w:multiLevelType w:val="hybridMultilevel"/>
    <w:tmpl w:val="279A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169D9"/>
    <w:multiLevelType w:val="hybridMultilevel"/>
    <w:tmpl w:val="EA9C27BA"/>
    <w:lvl w:ilvl="0" w:tplc="5D7CD098">
      <w:start w:val="2019"/>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15AFF"/>
    <w:multiLevelType w:val="hybridMultilevel"/>
    <w:tmpl w:val="5D1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150C3B"/>
    <w:multiLevelType w:val="hybridMultilevel"/>
    <w:tmpl w:val="AD729AC0"/>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3A7A09CB"/>
    <w:multiLevelType w:val="hybridMultilevel"/>
    <w:tmpl w:val="F4A2974E"/>
    <w:lvl w:ilvl="0" w:tplc="7A1A9690">
      <w:numFmt w:val="bullet"/>
      <w:lvlText w:val="-"/>
      <w:lvlJc w:val="left"/>
      <w:pPr>
        <w:ind w:left="720" w:hanging="360"/>
      </w:pPr>
      <w:rPr>
        <w:rFonts w:ascii="Trebuchet MS" w:eastAsiaTheme="minorHAns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D35038"/>
    <w:multiLevelType w:val="hybridMultilevel"/>
    <w:tmpl w:val="9906E7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335E3A"/>
    <w:multiLevelType w:val="hybridMultilevel"/>
    <w:tmpl w:val="2FD8E32A"/>
    <w:lvl w:ilvl="0" w:tplc="04180017">
      <w:start w:val="1"/>
      <w:numFmt w:val="lowerLetter"/>
      <w:lvlText w:val="%1)"/>
      <w:lvlJc w:val="left"/>
      <w:pPr>
        <w:ind w:left="927"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813E01"/>
    <w:multiLevelType w:val="hybridMultilevel"/>
    <w:tmpl w:val="780CC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007B4"/>
    <w:multiLevelType w:val="hybridMultilevel"/>
    <w:tmpl w:val="CC5ED254"/>
    <w:lvl w:ilvl="0" w:tplc="79541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763788"/>
    <w:multiLevelType w:val="hybridMultilevel"/>
    <w:tmpl w:val="358CC0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264276B"/>
    <w:multiLevelType w:val="hybridMultilevel"/>
    <w:tmpl w:val="5D1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5559F6"/>
    <w:multiLevelType w:val="hybridMultilevel"/>
    <w:tmpl w:val="DE42202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8A1884"/>
    <w:multiLevelType w:val="hybridMultilevel"/>
    <w:tmpl w:val="68E0E4D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86628117">
    <w:abstractNumId w:val="5"/>
  </w:num>
  <w:num w:numId="2" w16cid:durableId="1193349913">
    <w:abstractNumId w:val="0"/>
  </w:num>
  <w:num w:numId="3" w16cid:durableId="1754886612">
    <w:abstractNumId w:val="10"/>
  </w:num>
  <w:num w:numId="4" w16cid:durableId="385615253">
    <w:abstractNumId w:val="12"/>
  </w:num>
  <w:num w:numId="5" w16cid:durableId="490752440">
    <w:abstractNumId w:val="15"/>
  </w:num>
  <w:num w:numId="6" w16cid:durableId="1013336854">
    <w:abstractNumId w:val="1"/>
  </w:num>
  <w:num w:numId="7" w16cid:durableId="1297176644">
    <w:abstractNumId w:val="18"/>
  </w:num>
  <w:num w:numId="8" w16cid:durableId="393240351">
    <w:abstractNumId w:val="13"/>
  </w:num>
  <w:num w:numId="9" w16cid:durableId="2125345980">
    <w:abstractNumId w:val="6"/>
  </w:num>
  <w:num w:numId="10" w16cid:durableId="2018189144">
    <w:abstractNumId w:val="14"/>
  </w:num>
  <w:num w:numId="11" w16cid:durableId="1470900304">
    <w:abstractNumId w:val="2"/>
  </w:num>
  <w:num w:numId="12" w16cid:durableId="1394698860">
    <w:abstractNumId w:val="9"/>
  </w:num>
  <w:num w:numId="13" w16cid:durableId="2045474855">
    <w:abstractNumId w:val="7"/>
  </w:num>
  <w:num w:numId="14" w16cid:durableId="2003700965">
    <w:abstractNumId w:val="11"/>
  </w:num>
  <w:num w:numId="15" w16cid:durableId="395204170">
    <w:abstractNumId w:val="4"/>
  </w:num>
  <w:num w:numId="16" w16cid:durableId="2055692254">
    <w:abstractNumId w:val="3"/>
  </w:num>
  <w:num w:numId="17" w16cid:durableId="1018124303">
    <w:abstractNumId w:val="8"/>
  </w:num>
  <w:num w:numId="18" w16cid:durableId="1591619738">
    <w:abstractNumId w:val="16"/>
  </w:num>
  <w:num w:numId="19" w16cid:durableId="8826430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DF"/>
    <w:rsid w:val="00000685"/>
    <w:rsid w:val="0000240D"/>
    <w:rsid w:val="00010835"/>
    <w:rsid w:val="00016719"/>
    <w:rsid w:val="00017BC5"/>
    <w:rsid w:val="000257B3"/>
    <w:rsid w:val="00027F56"/>
    <w:rsid w:val="00032F01"/>
    <w:rsid w:val="00033BC8"/>
    <w:rsid w:val="00037127"/>
    <w:rsid w:val="00042A47"/>
    <w:rsid w:val="00042A54"/>
    <w:rsid w:val="00042BBE"/>
    <w:rsid w:val="00043A77"/>
    <w:rsid w:val="00043FBF"/>
    <w:rsid w:val="00044919"/>
    <w:rsid w:val="000468E4"/>
    <w:rsid w:val="00056331"/>
    <w:rsid w:val="000602EB"/>
    <w:rsid w:val="0006153D"/>
    <w:rsid w:val="00066579"/>
    <w:rsid w:val="000675AF"/>
    <w:rsid w:val="00071987"/>
    <w:rsid w:val="000721F2"/>
    <w:rsid w:val="0007696E"/>
    <w:rsid w:val="000770BC"/>
    <w:rsid w:val="000770FA"/>
    <w:rsid w:val="000817AE"/>
    <w:rsid w:val="000917F9"/>
    <w:rsid w:val="00092EFB"/>
    <w:rsid w:val="00094721"/>
    <w:rsid w:val="000960FD"/>
    <w:rsid w:val="000A6525"/>
    <w:rsid w:val="000A65C6"/>
    <w:rsid w:val="000B3844"/>
    <w:rsid w:val="000C0C99"/>
    <w:rsid w:val="000C15E5"/>
    <w:rsid w:val="000C73E0"/>
    <w:rsid w:val="000D679D"/>
    <w:rsid w:val="000D6A4D"/>
    <w:rsid w:val="000E338C"/>
    <w:rsid w:val="000E41B9"/>
    <w:rsid w:val="000E43D2"/>
    <w:rsid w:val="000E56E7"/>
    <w:rsid w:val="000E644C"/>
    <w:rsid w:val="000E686A"/>
    <w:rsid w:val="000F0E72"/>
    <w:rsid w:val="000F10F6"/>
    <w:rsid w:val="000F2768"/>
    <w:rsid w:val="000F28B6"/>
    <w:rsid w:val="000F455C"/>
    <w:rsid w:val="0010565E"/>
    <w:rsid w:val="001171AF"/>
    <w:rsid w:val="00120EBE"/>
    <w:rsid w:val="0012308D"/>
    <w:rsid w:val="001247AC"/>
    <w:rsid w:val="001343B5"/>
    <w:rsid w:val="001373B8"/>
    <w:rsid w:val="0014424B"/>
    <w:rsid w:val="0014677E"/>
    <w:rsid w:val="001507E4"/>
    <w:rsid w:val="00153481"/>
    <w:rsid w:val="00154D26"/>
    <w:rsid w:val="00160249"/>
    <w:rsid w:val="001627CB"/>
    <w:rsid w:val="00162E07"/>
    <w:rsid w:val="00165FCF"/>
    <w:rsid w:val="00171042"/>
    <w:rsid w:val="00176F74"/>
    <w:rsid w:val="00180CE6"/>
    <w:rsid w:val="00183890"/>
    <w:rsid w:val="00184196"/>
    <w:rsid w:val="00184D9D"/>
    <w:rsid w:val="001869D9"/>
    <w:rsid w:val="00190FCD"/>
    <w:rsid w:val="0019262D"/>
    <w:rsid w:val="001931CA"/>
    <w:rsid w:val="001A287A"/>
    <w:rsid w:val="001A2BF5"/>
    <w:rsid w:val="001B1772"/>
    <w:rsid w:val="001B182B"/>
    <w:rsid w:val="001C0012"/>
    <w:rsid w:val="001C0442"/>
    <w:rsid w:val="001C0CEB"/>
    <w:rsid w:val="001D236D"/>
    <w:rsid w:val="001E714E"/>
    <w:rsid w:val="001F184B"/>
    <w:rsid w:val="001F59F9"/>
    <w:rsid w:val="001F5DE3"/>
    <w:rsid w:val="002006F0"/>
    <w:rsid w:val="00207FD7"/>
    <w:rsid w:val="0021097C"/>
    <w:rsid w:val="002113F9"/>
    <w:rsid w:val="00211889"/>
    <w:rsid w:val="00214287"/>
    <w:rsid w:val="00215DBF"/>
    <w:rsid w:val="0022265C"/>
    <w:rsid w:val="00224819"/>
    <w:rsid w:val="00232B8D"/>
    <w:rsid w:val="0023339F"/>
    <w:rsid w:val="00233471"/>
    <w:rsid w:val="00240C4A"/>
    <w:rsid w:val="002434B5"/>
    <w:rsid w:val="00244617"/>
    <w:rsid w:val="00245B7F"/>
    <w:rsid w:val="00246610"/>
    <w:rsid w:val="00247853"/>
    <w:rsid w:val="00254594"/>
    <w:rsid w:val="0025568E"/>
    <w:rsid w:val="002638BF"/>
    <w:rsid w:val="00265287"/>
    <w:rsid w:val="00277E17"/>
    <w:rsid w:val="00277F3E"/>
    <w:rsid w:val="00285669"/>
    <w:rsid w:val="00285F8B"/>
    <w:rsid w:val="00287E16"/>
    <w:rsid w:val="00290733"/>
    <w:rsid w:val="002918B2"/>
    <w:rsid w:val="00296CC4"/>
    <w:rsid w:val="002A5C4D"/>
    <w:rsid w:val="002A7F58"/>
    <w:rsid w:val="002C1C7E"/>
    <w:rsid w:val="002C31E5"/>
    <w:rsid w:val="002C6259"/>
    <w:rsid w:val="002C747A"/>
    <w:rsid w:val="002C74FD"/>
    <w:rsid w:val="002D7C39"/>
    <w:rsid w:val="002E05A8"/>
    <w:rsid w:val="002E225F"/>
    <w:rsid w:val="002E2D39"/>
    <w:rsid w:val="002F0B4E"/>
    <w:rsid w:val="00301085"/>
    <w:rsid w:val="003071A1"/>
    <w:rsid w:val="00314141"/>
    <w:rsid w:val="003174D3"/>
    <w:rsid w:val="00320D20"/>
    <w:rsid w:val="003330C6"/>
    <w:rsid w:val="0033505E"/>
    <w:rsid w:val="00340311"/>
    <w:rsid w:val="00342AAC"/>
    <w:rsid w:val="00342E5E"/>
    <w:rsid w:val="00345962"/>
    <w:rsid w:val="00347EDC"/>
    <w:rsid w:val="003563D6"/>
    <w:rsid w:val="00356C73"/>
    <w:rsid w:val="00361F6E"/>
    <w:rsid w:val="003656DF"/>
    <w:rsid w:val="00374891"/>
    <w:rsid w:val="00374EF6"/>
    <w:rsid w:val="00382FF0"/>
    <w:rsid w:val="00383400"/>
    <w:rsid w:val="00385640"/>
    <w:rsid w:val="00387A38"/>
    <w:rsid w:val="00390740"/>
    <w:rsid w:val="00391507"/>
    <w:rsid w:val="003931CE"/>
    <w:rsid w:val="00396047"/>
    <w:rsid w:val="0039624F"/>
    <w:rsid w:val="00396D22"/>
    <w:rsid w:val="003978F5"/>
    <w:rsid w:val="003A6171"/>
    <w:rsid w:val="003A6605"/>
    <w:rsid w:val="003A6AF0"/>
    <w:rsid w:val="003B1CE3"/>
    <w:rsid w:val="003B1D36"/>
    <w:rsid w:val="003B32CA"/>
    <w:rsid w:val="003B36C4"/>
    <w:rsid w:val="003B3729"/>
    <w:rsid w:val="003B4B90"/>
    <w:rsid w:val="003B6BD2"/>
    <w:rsid w:val="003C4616"/>
    <w:rsid w:val="003C494A"/>
    <w:rsid w:val="003C693B"/>
    <w:rsid w:val="003D01B3"/>
    <w:rsid w:val="003D0EB2"/>
    <w:rsid w:val="003D164E"/>
    <w:rsid w:val="003E3664"/>
    <w:rsid w:val="003E4C2D"/>
    <w:rsid w:val="003F21B3"/>
    <w:rsid w:val="003F3851"/>
    <w:rsid w:val="004053FC"/>
    <w:rsid w:val="004058C8"/>
    <w:rsid w:val="0040717A"/>
    <w:rsid w:val="00413E9D"/>
    <w:rsid w:val="0041512E"/>
    <w:rsid w:val="00417EE1"/>
    <w:rsid w:val="00435951"/>
    <w:rsid w:val="00437CD8"/>
    <w:rsid w:val="004424C0"/>
    <w:rsid w:val="00442DBB"/>
    <w:rsid w:val="0044392D"/>
    <w:rsid w:val="00444E77"/>
    <w:rsid w:val="00451DFD"/>
    <w:rsid w:val="00451E33"/>
    <w:rsid w:val="00451F3E"/>
    <w:rsid w:val="00453C15"/>
    <w:rsid w:val="00455766"/>
    <w:rsid w:val="0045669B"/>
    <w:rsid w:val="004609E3"/>
    <w:rsid w:val="00461B79"/>
    <w:rsid w:val="004625A3"/>
    <w:rsid w:val="00462E25"/>
    <w:rsid w:val="00463968"/>
    <w:rsid w:val="00464C28"/>
    <w:rsid w:val="00465CF9"/>
    <w:rsid w:val="00466874"/>
    <w:rsid w:val="004711C2"/>
    <w:rsid w:val="004729D0"/>
    <w:rsid w:val="0047389E"/>
    <w:rsid w:val="00473EC2"/>
    <w:rsid w:val="00474411"/>
    <w:rsid w:val="00476048"/>
    <w:rsid w:val="004774E8"/>
    <w:rsid w:val="00484D03"/>
    <w:rsid w:val="00484F9A"/>
    <w:rsid w:val="00487D7D"/>
    <w:rsid w:val="00491AB3"/>
    <w:rsid w:val="00493D09"/>
    <w:rsid w:val="00494B4C"/>
    <w:rsid w:val="00497373"/>
    <w:rsid w:val="004A43F0"/>
    <w:rsid w:val="004A7735"/>
    <w:rsid w:val="004B486E"/>
    <w:rsid w:val="004B5E59"/>
    <w:rsid w:val="004D161A"/>
    <w:rsid w:val="004D1E94"/>
    <w:rsid w:val="004D2057"/>
    <w:rsid w:val="004D6BE9"/>
    <w:rsid w:val="004D6BF1"/>
    <w:rsid w:val="004E1E77"/>
    <w:rsid w:val="004E2A8D"/>
    <w:rsid w:val="004E5B00"/>
    <w:rsid w:val="004E5CCB"/>
    <w:rsid w:val="004E679C"/>
    <w:rsid w:val="004E6C4D"/>
    <w:rsid w:val="004F4D4C"/>
    <w:rsid w:val="004F7FA4"/>
    <w:rsid w:val="0050241A"/>
    <w:rsid w:val="00502DF0"/>
    <w:rsid w:val="00504AF1"/>
    <w:rsid w:val="00506342"/>
    <w:rsid w:val="00511C9E"/>
    <w:rsid w:val="005209AD"/>
    <w:rsid w:val="00521123"/>
    <w:rsid w:val="00523CFB"/>
    <w:rsid w:val="00525B44"/>
    <w:rsid w:val="00526B2D"/>
    <w:rsid w:val="005276AC"/>
    <w:rsid w:val="0053058D"/>
    <w:rsid w:val="00534AB1"/>
    <w:rsid w:val="00534E8F"/>
    <w:rsid w:val="005351E4"/>
    <w:rsid w:val="00535831"/>
    <w:rsid w:val="00541282"/>
    <w:rsid w:val="00547784"/>
    <w:rsid w:val="00547D01"/>
    <w:rsid w:val="00553A8D"/>
    <w:rsid w:val="00560A80"/>
    <w:rsid w:val="00566E16"/>
    <w:rsid w:val="005768DD"/>
    <w:rsid w:val="00580518"/>
    <w:rsid w:val="00585F55"/>
    <w:rsid w:val="00592213"/>
    <w:rsid w:val="005955DA"/>
    <w:rsid w:val="005A52C0"/>
    <w:rsid w:val="005A75CC"/>
    <w:rsid w:val="005A7DB5"/>
    <w:rsid w:val="005B1E33"/>
    <w:rsid w:val="005B5209"/>
    <w:rsid w:val="005C012C"/>
    <w:rsid w:val="005C7711"/>
    <w:rsid w:val="005C7DE4"/>
    <w:rsid w:val="005D6FB4"/>
    <w:rsid w:val="005E19C5"/>
    <w:rsid w:val="005E3395"/>
    <w:rsid w:val="005F39B5"/>
    <w:rsid w:val="005F56CE"/>
    <w:rsid w:val="005F6136"/>
    <w:rsid w:val="005F6D4A"/>
    <w:rsid w:val="0060396D"/>
    <w:rsid w:val="006043B9"/>
    <w:rsid w:val="0061227F"/>
    <w:rsid w:val="00621EBC"/>
    <w:rsid w:val="0062338D"/>
    <w:rsid w:val="0062421E"/>
    <w:rsid w:val="0062565E"/>
    <w:rsid w:val="00631ADA"/>
    <w:rsid w:val="00632524"/>
    <w:rsid w:val="00633E0E"/>
    <w:rsid w:val="0063427A"/>
    <w:rsid w:val="0063700A"/>
    <w:rsid w:val="0063745A"/>
    <w:rsid w:val="00637E80"/>
    <w:rsid w:val="00643931"/>
    <w:rsid w:val="00645013"/>
    <w:rsid w:val="00646999"/>
    <w:rsid w:val="00646DAE"/>
    <w:rsid w:val="00647D58"/>
    <w:rsid w:val="006522BF"/>
    <w:rsid w:val="00655B4C"/>
    <w:rsid w:val="00656822"/>
    <w:rsid w:val="00660D58"/>
    <w:rsid w:val="00661247"/>
    <w:rsid w:val="00661362"/>
    <w:rsid w:val="006623E6"/>
    <w:rsid w:val="00663DFF"/>
    <w:rsid w:val="00665442"/>
    <w:rsid w:val="006755CB"/>
    <w:rsid w:val="00680EA3"/>
    <w:rsid w:val="006863E0"/>
    <w:rsid w:val="00690169"/>
    <w:rsid w:val="00693E81"/>
    <w:rsid w:val="00697489"/>
    <w:rsid w:val="00697B99"/>
    <w:rsid w:val="006A0712"/>
    <w:rsid w:val="006A2ECB"/>
    <w:rsid w:val="006B1E0A"/>
    <w:rsid w:val="006C2A2E"/>
    <w:rsid w:val="006C2CA0"/>
    <w:rsid w:val="006C4CC9"/>
    <w:rsid w:val="006D2453"/>
    <w:rsid w:val="006D3726"/>
    <w:rsid w:val="006D40A6"/>
    <w:rsid w:val="006D5244"/>
    <w:rsid w:val="006D5D5B"/>
    <w:rsid w:val="006E1774"/>
    <w:rsid w:val="006E30FF"/>
    <w:rsid w:val="006E6889"/>
    <w:rsid w:val="006F330B"/>
    <w:rsid w:val="006F33D5"/>
    <w:rsid w:val="006F680C"/>
    <w:rsid w:val="00703151"/>
    <w:rsid w:val="0070356F"/>
    <w:rsid w:val="00706449"/>
    <w:rsid w:val="0071150B"/>
    <w:rsid w:val="00721578"/>
    <w:rsid w:val="007220E4"/>
    <w:rsid w:val="00733D15"/>
    <w:rsid w:val="007343CE"/>
    <w:rsid w:val="00734D3E"/>
    <w:rsid w:val="00735CAA"/>
    <w:rsid w:val="0073751F"/>
    <w:rsid w:val="00751475"/>
    <w:rsid w:val="007514C1"/>
    <w:rsid w:val="00757EB4"/>
    <w:rsid w:val="00760DB8"/>
    <w:rsid w:val="0076231B"/>
    <w:rsid w:val="007716CC"/>
    <w:rsid w:val="00775735"/>
    <w:rsid w:val="007771C1"/>
    <w:rsid w:val="00777598"/>
    <w:rsid w:val="00777CBB"/>
    <w:rsid w:val="0078008E"/>
    <w:rsid w:val="00780F26"/>
    <w:rsid w:val="007818D0"/>
    <w:rsid w:val="007864E4"/>
    <w:rsid w:val="00795DCE"/>
    <w:rsid w:val="00796FEF"/>
    <w:rsid w:val="007A00CB"/>
    <w:rsid w:val="007A6126"/>
    <w:rsid w:val="007A6BEA"/>
    <w:rsid w:val="007A7E95"/>
    <w:rsid w:val="007B1789"/>
    <w:rsid w:val="007B190C"/>
    <w:rsid w:val="007B4E71"/>
    <w:rsid w:val="007B59F8"/>
    <w:rsid w:val="007B60BB"/>
    <w:rsid w:val="007B7E3D"/>
    <w:rsid w:val="007C0AAB"/>
    <w:rsid w:val="007C4AB2"/>
    <w:rsid w:val="007C4ACB"/>
    <w:rsid w:val="007C5C90"/>
    <w:rsid w:val="007D0B1B"/>
    <w:rsid w:val="007E11D6"/>
    <w:rsid w:val="007E582F"/>
    <w:rsid w:val="007E7D71"/>
    <w:rsid w:val="007F5122"/>
    <w:rsid w:val="007F5453"/>
    <w:rsid w:val="007F7AC5"/>
    <w:rsid w:val="008024B8"/>
    <w:rsid w:val="0081273D"/>
    <w:rsid w:val="00813BBC"/>
    <w:rsid w:val="00817A57"/>
    <w:rsid w:val="00825498"/>
    <w:rsid w:val="00831CCC"/>
    <w:rsid w:val="00834915"/>
    <w:rsid w:val="0083651A"/>
    <w:rsid w:val="00841BF0"/>
    <w:rsid w:val="0084732D"/>
    <w:rsid w:val="00853A33"/>
    <w:rsid w:val="008546BA"/>
    <w:rsid w:val="00855C49"/>
    <w:rsid w:val="00856BE7"/>
    <w:rsid w:val="00863468"/>
    <w:rsid w:val="008704C6"/>
    <w:rsid w:val="00870856"/>
    <w:rsid w:val="00871B21"/>
    <w:rsid w:val="00871E21"/>
    <w:rsid w:val="00872F72"/>
    <w:rsid w:val="0087403E"/>
    <w:rsid w:val="00876C44"/>
    <w:rsid w:val="0088099B"/>
    <w:rsid w:val="008813A0"/>
    <w:rsid w:val="00881C58"/>
    <w:rsid w:val="00890704"/>
    <w:rsid w:val="0089245C"/>
    <w:rsid w:val="00892532"/>
    <w:rsid w:val="008936DD"/>
    <w:rsid w:val="00894D58"/>
    <w:rsid w:val="008953D0"/>
    <w:rsid w:val="008960DA"/>
    <w:rsid w:val="008962C1"/>
    <w:rsid w:val="008A2EF8"/>
    <w:rsid w:val="008A4149"/>
    <w:rsid w:val="008A7AFE"/>
    <w:rsid w:val="008B76A4"/>
    <w:rsid w:val="008C39C4"/>
    <w:rsid w:val="008C7045"/>
    <w:rsid w:val="008D5B38"/>
    <w:rsid w:val="008D70AE"/>
    <w:rsid w:val="008E174C"/>
    <w:rsid w:val="008E283F"/>
    <w:rsid w:val="008E332F"/>
    <w:rsid w:val="0090168D"/>
    <w:rsid w:val="009033DD"/>
    <w:rsid w:val="00904F18"/>
    <w:rsid w:val="00910635"/>
    <w:rsid w:val="0091074E"/>
    <w:rsid w:val="00911E09"/>
    <w:rsid w:val="00913537"/>
    <w:rsid w:val="0092286B"/>
    <w:rsid w:val="00926F07"/>
    <w:rsid w:val="0093171E"/>
    <w:rsid w:val="00931CAD"/>
    <w:rsid w:val="009337AA"/>
    <w:rsid w:val="00933BC3"/>
    <w:rsid w:val="00934B77"/>
    <w:rsid w:val="00934F88"/>
    <w:rsid w:val="009406D8"/>
    <w:rsid w:val="009456C1"/>
    <w:rsid w:val="009461E4"/>
    <w:rsid w:val="00952801"/>
    <w:rsid w:val="00952854"/>
    <w:rsid w:val="00955107"/>
    <w:rsid w:val="00957692"/>
    <w:rsid w:val="00963032"/>
    <w:rsid w:val="00963095"/>
    <w:rsid w:val="00964EAC"/>
    <w:rsid w:val="00967C01"/>
    <w:rsid w:val="009732AE"/>
    <w:rsid w:val="009735BD"/>
    <w:rsid w:val="00974749"/>
    <w:rsid w:val="00974E86"/>
    <w:rsid w:val="009760CD"/>
    <w:rsid w:val="00986029"/>
    <w:rsid w:val="00987758"/>
    <w:rsid w:val="009916DE"/>
    <w:rsid w:val="009921FD"/>
    <w:rsid w:val="009A0FA1"/>
    <w:rsid w:val="009A47A0"/>
    <w:rsid w:val="009A7678"/>
    <w:rsid w:val="009B10E0"/>
    <w:rsid w:val="009B22FE"/>
    <w:rsid w:val="009B3274"/>
    <w:rsid w:val="009B55A0"/>
    <w:rsid w:val="009C1C57"/>
    <w:rsid w:val="009C6858"/>
    <w:rsid w:val="009D6F33"/>
    <w:rsid w:val="009D7CB2"/>
    <w:rsid w:val="009E0BE2"/>
    <w:rsid w:val="009E18B6"/>
    <w:rsid w:val="009E2279"/>
    <w:rsid w:val="009F4D75"/>
    <w:rsid w:val="009F5CB2"/>
    <w:rsid w:val="009F6FE7"/>
    <w:rsid w:val="00A010C9"/>
    <w:rsid w:val="00A01709"/>
    <w:rsid w:val="00A0343B"/>
    <w:rsid w:val="00A10EBD"/>
    <w:rsid w:val="00A23AFE"/>
    <w:rsid w:val="00A300B6"/>
    <w:rsid w:val="00A308EE"/>
    <w:rsid w:val="00A33489"/>
    <w:rsid w:val="00A359B4"/>
    <w:rsid w:val="00A40D98"/>
    <w:rsid w:val="00A421E3"/>
    <w:rsid w:val="00A4503C"/>
    <w:rsid w:val="00A46627"/>
    <w:rsid w:val="00A50970"/>
    <w:rsid w:val="00A53B18"/>
    <w:rsid w:val="00A60F41"/>
    <w:rsid w:val="00A6100A"/>
    <w:rsid w:val="00A74BF5"/>
    <w:rsid w:val="00A75ABD"/>
    <w:rsid w:val="00A83446"/>
    <w:rsid w:val="00A86070"/>
    <w:rsid w:val="00A92C7D"/>
    <w:rsid w:val="00A96E37"/>
    <w:rsid w:val="00A970D4"/>
    <w:rsid w:val="00A97A87"/>
    <w:rsid w:val="00AA2A3B"/>
    <w:rsid w:val="00AA3693"/>
    <w:rsid w:val="00AB4F1A"/>
    <w:rsid w:val="00AC032B"/>
    <w:rsid w:val="00AC49F4"/>
    <w:rsid w:val="00AC5311"/>
    <w:rsid w:val="00AC626E"/>
    <w:rsid w:val="00AD3DB2"/>
    <w:rsid w:val="00AD441D"/>
    <w:rsid w:val="00AD5411"/>
    <w:rsid w:val="00AD56B1"/>
    <w:rsid w:val="00AE301D"/>
    <w:rsid w:val="00AE5C96"/>
    <w:rsid w:val="00AF126A"/>
    <w:rsid w:val="00B1052A"/>
    <w:rsid w:val="00B1485E"/>
    <w:rsid w:val="00B175B7"/>
    <w:rsid w:val="00B2668C"/>
    <w:rsid w:val="00B3212F"/>
    <w:rsid w:val="00B34033"/>
    <w:rsid w:val="00B37B43"/>
    <w:rsid w:val="00B44A12"/>
    <w:rsid w:val="00B50533"/>
    <w:rsid w:val="00B508CF"/>
    <w:rsid w:val="00B53C92"/>
    <w:rsid w:val="00B55729"/>
    <w:rsid w:val="00B57852"/>
    <w:rsid w:val="00B625D6"/>
    <w:rsid w:val="00B62BB3"/>
    <w:rsid w:val="00B64761"/>
    <w:rsid w:val="00B73652"/>
    <w:rsid w:val="00B741F5"/>
    <w:rsid w:val="00B75008"/>
    <w:rsid w:val="00B75D17"/>
    <w:rsid w:val="00B81973"/>
    <w:rsid w:val="00B82219"/>
    <w:rsid w:val="00B83115"/>
    <w:rsid w:val="00B91A35"/>
    <w:rsid w:val="00B91E0C"/>
    <w:rsid w:val="00B9296D"/>
    <w:rsid w:val="00B92BC4"/>
    <w:rsid w:val="00B92EC2"/>
    <w:rsid w:val="00B95937"/>
    <w:rsid w:val="00BA519F"/>
    <w:rsid w:val="00BA6D41"/>
    <w:rsid w:val="00BB3858"/>
    <w:rsid w:val="00BB78BA"/>
    <w:rsid w:val="00BC1610"/>
    <w:rsid w:val="00BC384D"/>
    <w:rsid w:val="00BC6DB8"/>
    <w:rsid w:val="00BD6B54"/>
    <w:rsid w:val="00BD7F96"/>
    <w:rsid w:val="00BE0C65"/>
    <w:rsid w:val="00BE2819"/>
    <w:rsid w:val="00BE2E7C"/>
    <w:rsid w:val="00BE4AA8"/>
    <w:rsid w:val="00BF0D1B"/>
    <w:rsid w:val="00BF40DF"/>
    <w:rsid w:val="00C04206"/>
    <w:rsid w:val="00C06B48"/>
    <w:rsid w:val="00C1451B"/>
    <w:rsid w:val="00C14F73"/>
    <w:rsid w:val="00C20943"/>
    <w:rsid w:val="00C22588"/>
    <w:rsid w:val="00C25F20"/>
    <w:rsid w:val="00C30D00"/>
    <w:rsid w:val="00C3296B"/>
    <w:rsid w:val="00C331A9"/>
    <w:rsid w:val="00C43110"/>
    <w:rsid w:val="00C50852"/>
    <w:rsid w:val="00C519ED"/>
    <w:rsid w:val="00C616D5"/>
    <w:rsid w:val="00C63652"/>
    <w:rsid w:val="00C7393C"/>
    <w:rsid w:val="00C747A1"/>
    <w:rsid w:val="00C77DC0"/>
    <w:rsid w:val="00C82BF0"/>
    <w:rsid w:val="00C83F0D"/>
    <w:rsid w:val="00C84B32"/>
    <w:rsid w:val="00C9070D"/>
    <w:rsid w:val="00C950AF"/>
    <w:rsid w:val="00C9645D"/>
    <w:rsid w:val="00C9754F"/>
    <w:rsid w:val="00CA08A8"/>
    <w:rsid w:val="00CA12CD"/>
    <w:rsid w:val="00CA18CC"/>
    <w:rsid w:val="00CA421E"/>
    <w:rsid w:val="00CB47A7"/>
    <w:rsid w:val="00CB7B28"/>
    <w:rsid w:val="00CC1F37"/>
    <w:rsid w:val="00CC6125"/>
    <w:rsid w:val="00CC77BA"/>
    <w:rsid w:val="00CD4A87"/>
    <w:rsid w:val="00CF3D46"/>
    <w:rsid w:val="00CF4261"/>
    <w:rsid w:val="00D10D90"/>
    <w:rsid w:val="00D10E03"/>
    <w:rsid w:val="00D1177D"/>
    <w:rsid w:val="00D11FF7"/>
    <w:rsid w:val="00D13565"/>
    <w:rsid w:val="00D15F69"/>
    <w:rsid w:val="00D2129E"/>
    <w:rsid w:val="00D21B31"/>
    <w:rsid w:val="00D3345E"/>
    <w:rsid w:val="00D3525F"/>
    <w:rsid w:val="00D35687"/>
    <w:rsid w:val="00D36BBA"/>
    <w:rsid w:val="00D37E2A"/>
    <w:rsid w:val="00D4030F"/>
    <w:rsid w:val="00D43210"/>
    <w:rsid w:val="00D64ADA"/>
    <w:rsid w:val="00D65CF3"/>
    <w:rsid w:val="00D70557"/>
    <w:rsid w:val="00D70C22"/>
    <w:rsid w:val="00D7704B"/>
    <w:rsid w:val="00D847AE"/>
    <w:rsid w:val="00D85912"/>
    <w:rsid w:val="00D8596C"/>
    <w:rsid w:val="00D874C6"/>
    <w:rsid w:val="00D878B4"/>
    <w:rsid w:val="00D90E46"/>
    <w:rsid w:val="00D94248"/>
    <w:rsid w:val="00DA59C4"/>
    <w:rsid w:val="00DB039C"/>
    <w:rsid w:val="00DB06F7"/>
    <w:rsid w:val="00DB1B89"/>
    <w:rsid w:val="00DB2CA1"/>
    <w:rsid w:val="00DB4DBE"/>
    <w:rsid w:val="00DB54A6"/>
    <w:rsid w:val="00DB62E7"/>
    <w:rsid w:val="00DC22C3"/>
    <w:rsid w:val="00DD03DF"/>
    <w:rsid w:val="00DD045B"/>
    <w:rsid w:val="00DD28EF"/>
    <w:rsid w:val="00DD37A8"/>
    <w:rsid w:val="00DD416C"/>
    <w:rsid w:val="00DE0F59"/>
    <w:rsid w:val="00DE13D5"/>
    <w:rsid w:val="00DE228A"/>
    <w:rsid w:val="00DE46AE"/>
    <w:rsid w:val="00DE79E6"/>
    <w:rsid w:val="00DF1601"/>
    <w:rsid w:val="00DF5B9D"/>
    <w:rsid w:val="00DF65D2"/>
    <w:rsid w:val="00E01A6F"/>
    <w:rsid w:val="00E03BA9"/>
    <w:rsid w:val="00E12448"/>
    <w:rsid w:val="00E17E88"/>
    <w:rsid w:val="00E26BAC"/>
    <w:rsid w:val="00E27A3F"/>
    <w:rsid w:val="00E30C5D"/>
    <w:rsid w:val="00E33719"/>
    <w:rsid w:val="00E379D1"/>
    <w:rsid w:val="00E40B99"/>
    <w:rsid w:val="00E46555"/>
    <w:rsid w:val="00E56CB8"/>
    <w:rsid w:val="00E56DF0"/>
    <w:rsid w:val="00E602BA"/>
    <w:rsid w:val="00E603DC"/>
    <w:rsid w:val="00E60A3F"/>
    <w:rsid w:val="00E6119B"/>
    <w:rsid w:val="00E63511"/>
    <w:rsid w:val="00E66B1F"/>
    <w:rsid w:val="00E72A8C"/>
    <w:rsid w:val="00E74C9C"/>
    <w:rsid w:val="00E843D4"/>
    <w:rsid w:val="00E97AE1"/>
    <w:rsid w:val="00EB0F6E"/>
    <w:rsid w:val="00EB54AA"/>
    <w:rsid w:val="00EC2BAF"/>
    <w:rsid w:val="00EC4604"/>
    <w:rsid w:val="00EC752B"/>
    <w:rsid w:val="00ED0943"/>
    <w:rsid w:val="00ED2C1C"/>
    <w:rsid w:val="00EF1E49"/>
    <w:rsid w:val="00EF58B8"/>
    <w:rsid w:val="00EF6688"/>
    <w:rsid w:val="00EF723F"/>
    <w:rsid w:val="00F00071"/>
    <w:rsid w:val="00F007B6"/>
    <w:rsid w:val="00F107A6"/>
    <w:rsid w:val="00F127BB"/>
    <w:rsid w:val="00F204C2"/>
    <w:rsid w:val="00F22D47"/>
    <w:rsid w:val="00F245EC"/>
    <w:rsid w:val="00F255FF"/>
    <w:rsid w:val="00F30237"/>
    <w:rsid w:val="00F30E18"/>
    <w:rsid w:val="00F33A5B"/>
    <w:rsid w:val="00F343FD"/>
    <w:rsid w:val="00F34EB5"/>
    <w:rsid w:val="00F40FA6"/>
    <w:rsid w:val="00F43A9B"/>
    <w:rsid w:val="00F47A26"/>
    <w:rsid w:val="00F5037A"/>
    <w:rsid w:val="00F51D7F"/>
    <w:rsid w:val="00F52074"/>
    <w:rsid w:val="00F5425A"/>
    <w:rsid w:val="00F548DE"/>
    <w:rsid w:val="00F56164"/>
    <w:rsid w:val="00F57929"/>
    <w:rsid w:val="00F6056C"/>
    <w:rsid w:val="00F6369B"/>
    <w:rsid w:val="00F66FB7"/>
    <w:rsid w:val="00F677DE"/>
    <w:rsid w:val="00F82A55"/>
    <w:rsid w:val="00F870AC"/>
    <w:rsid w:val="00F93414"/>
    <w:rsid w:val="00F93AA3"/>
    <w:rsid w:val="00F93BF6"/>
    <w:rsid w:val="00F94589"/>
    <w:rsid w:val="00F94DCF"/>
    <w:rsid w:val="00FB0F99"/>
    <w:rsid w:val="00FB2A8F"/>
    <w:rsid w:val="00FB73A0"/>
    <w:rsid w:val="00FC154E"/>
    <w:rsid w:val="00FC73C5"/>
    <w:rsid w:val="00FD0CEB"/>
    <w:rsid w:val="00FD0E12"/>
    <w:rsid w:val="00FD306E"/>
    <w:rsid w:val="00FD4473"/>
    <w:rsid w:val="00FE3B2E"/>
    <w:rsid w:val="00FF3083"/>
    <w:rsid w:val="00F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8482"/>
  <w15:docId w15:val="{0504A570-A31C-4E12-A34E-BCE1B275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A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4D161A"/>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4D161A"/>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D161A"/>
    <w:rPr>
      <w:rFonts w:ascii="Trebuchet MS" w:hAnsi="Trebuchet MS"/>
      <w:sz w:val="18"/>
      <w:szCs w:val="18"/>
    </w:rPr>
  </w:style>
  <w:style w:type="character" w:customStyle="1" w:styleId="SubtleEmphasis1">
    <w:name w:val="Subtle Emphasis1"/>
    <w:uiPriority w:val="19"/>
    <w:qFormat/>
    <w:rsid w:val="004D161A"/>
    <w:rPr>
      <w:color w:val="808080"/>
    </w:rPr>
  </w:style>
  <w:style w:type="character" w:customStyle="1" w:styleId="IntenseEmphasis1">
    <w:name w:val="Intense Emphasis1"/>
    <w:uiPriority w:val="21"/>
    <w:qFormat/>
    <w:rsid w:val="004D161A"/>
    <w:rPr>
      <w:b/>
      <w:bCs/>
      <w:i/>
      <w:iCs/>
      <w:color w:val="4F81BD"/>
    </w:rPr>
  </w:style>
  <w:style w:type="paragraph" w:customStyle="1" w:styleId="ColorfulGrid-Accent11">
    <w:name w:val="Colorful Grid - Accent 11"/>
    <w:basedOn w:val="Normal"/>
    <w:next w:val="Normal"/>
    <w:link w:val="ColorfulGrid-Accent1Char"/>
    <w:uiPriority w:val="29"/>
    <w:qFormat/>
    <w:rsid w:val="004D161A"/>
    <w:rPr>
      <w:i/>
      <w:iCs/>
      <w:color w:val="000000"/>
    </w:rPr>
  </w:style>
  <w:style w:type="character" w:customStyle="1" w:styleId="ColorfulGrid-Accent1Char">
    <w:name w:val="Colorful Grid - Accent 1 Char"/>
    <w:link w:val="ColorfulGrid-Accent11"/>
    <w:uiPriority w:val="29"/>
    <w:rsid w:val="004D161A"/>
    <w:rPr>
      <w:rFonts w:ascii="Trebuchet MS" w:hAnsi="Trebuchet MS"/>
      <w:i/>
      <w:iCs/>
      <w:color w:val="000000"/>
      <w:sz w:val="22"/>
      <w:szCs w:val="22"/>
    </w:rPr>
  </w:style>
  <w:style w:type="character" w:customStyle="1" w:styleId="Heading1Char">
    <w:name w:val="Heading 1 Char"/>
    <w:link w:val="Heading1"/>
    <w:uiPriority w:val="9"/>
    <w:rsid w:val="004D161A"/>
    <w:rPr>
      <w:rFonts w:ascii="Calibri" w:eastAsia="MS Gothic" w:hAnsi="Calibri"/>
      <w:b/>
      <w:bCs/>
      <w:kern w:val="32"/>
      <w:sz w:val="32"/>
      <w:szCs w:val="32"/>
    </w:rPr>
  </w:style>
  <w:style w:type="character" w:customStyle="1" w:styleId="Heading2Char">
    <w:name w:val="Heading 2 Char"/>
    <w:link w:val="Heading2"/>
    <w:uiPriority w:val="9"/>
    <w:rsid w:val="004D161A"/>
    <w:rPr>
      <w:rFonts w:ascii="Calibri" w:eastAsia="MS Gothic" w:hAnsi="Calibri"/>
      <w:b/>
      <w:bCs/>
      <w:i/>
      <w:iCs/>
      <w:sz w:val="28"/>
      <w:szCs w:val="28"/>
    </w:rPr>
  </w:style>
  <w:style w:type="paragraph" w:styleId="Title">
    <w:name w:val="Title"/>
    <w:basedOn w:val="Normal"/>
    <w:next w:val="Normal"/>
    <w:link w:val="TitleChar"/>
    <w:uiPriority w:val="10"/>
    <w:qFormat/>
    <w:rsid w:val="004D161A"/>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4D161A"/>
    <w:rPr>
      <w:rFonts w:ascii="Calibri" w:eastAsia="MS Gothic" w:hAnsi="Calibri"/>
      <w:b/>
      <w:bCs/>
      <w:kern w:val="28"/>
      <w:sz w:val="32"/>
      <w:szCs w:val="32"/>
    </w:rPr>
  </w:style>
  <w:style w:type="character" w:styleId="Strong">
    <w:name w:val="Strong"/>
    <w:uiPriority w:val="22"/>
    <w:qFormat/>
    <w:rsid w:val="004D161A"/>
    <w:rPr>
      <w:b/>
      <w:bCs/>
    </w:rPr>
  </w:style>
  <w:style w:type="character" w:styleId="Emphasis">
    <w:name w:val="Emphasis"/>
    <w:uiPriority w:val="20"/>
    <w:qFormat/>
    <w:rsid w:val="004D161A"/>
    <w:rPr>
      <w:i/>
      <w:iCs/>
    </w:rPr>
  </w:style>
  <w:style w:type="paragraph" w:styleId="ListParagraph">
    <w:name w:val="List Paragraph"/>
    <w:basedOn w:val="Normal"/>
    <w:uiPriority w:val="34"/>
    <w:qFormat/>
    <w:rsid w:val="004D161A"/>
    <w:pPr>
      <w:ind w:left="708"/>
    </w:pPr>
  </w:style>
  <w:style w:type="character" w:styleId="Hyperlink">
    <w:name w:val="Hyperlink"/>
    <w:basedOn w:val="DefaultParagraphFont"/>
    <w:uiPriority w:val="99"/>
    <w:unhideWhenUsed/>
    <w:rsid w:val="00F47A26"/>
    <w:rPr>
      <w:color w:val="0000FF" w:themeColor="hyperlink"/>
      <w:u w:val="single"/>
    </w:rPr>
  </w:style>
  <w:style w:type="character" w:styleId="CommentReference">
    <w:name w:val="annotation reference"/>
    <w:basedOn w:val="DefaultParagraphFont"/>
    <w:uiPriority w:val="99"/>
    <w:semiHidden/>
    <w:unhideWhenUsed/>
    <w:rsid w:val="00DC22C3"/>
    <w:rPr>
      <w:sz w:val="16"/>
      <w:szCs w:val="16"/>
    </w:rPr>
  </w:style>
  <w:style w:type="paragraph" w:styleId="CommentText">
    <w:name w:val="annotation text"/>
    <w:basedOn w:val="Normal"/>
    <w:link w:val="CommentTextChar"/>
    <w:uiPriority w:val="99"/>
    <w:semiHidden/>
    <w:unhideWhenUsed/>
    <w:rsid w:val="00DC22C3"/>
    <w:pPr>
      <w:spacing w:line="240" w:lineRule="auto"/>
    </w:pPr>
    <w:rPr>
      <w:sz w:val="20"/>
      <w:szCs w:val="20"/>
    </w:rPr>
  </w:style>
  <w:style w:type="character" w:customStyle="1" w:styleId="CommentTextChar">
    <w:name w:val="Comment Text Char"/>
    <w:basedOn w:val="DefaultParagraphFont"/>
    <w:link w:val="CommentText"/>
    <w:uiPriority w:val="99"/>
    <w:semiHidden/>
    <w:rsid w:val="00DC22C3"/>
    <w:rPr>
      <w:rFonts w:ascii="Trebuchet MS" w:hAnsi="Trebuchet MS"/>
    </w:rPr>
  </w:style>
  <w:style w:type="paragraph" w:styleId="CommentSubject">
    <w:name w:val="annotation subject"/>
    <w:basedOn w:val="CommentText"/>
    <w:next w:val="CommentText"/>
    <w:link w:val="CommentSubjectChar"/>
    <w:uiPriority w:val="99"/>
    <w:semiHidden/>
    <w:unhideWhenUsed/>
    <w:rsid w:val="00DC22C3"/>
    <w:rPr>
      <w:b/>
      <w:bCs/>
    </w:rPr>
  </w:style>
  <w:style w:type="character" w:customStyle="1" w:styleId="CommentSubjectChar">
    <w:name w:val="Comment Subject Char"/>
    <w:basedOn w:val="CommentTextChar"/>
    <w:link w:val="CommentSubject"/>
    <w:uiPriority w:val="99"/>
    <w:semiHidden/>
    <w:rsid w:val="00DC22C3"/>
    <w:rPr>
      <w:rFonts w:ascii="Trebuchet MS" w:hAnsi="Trebuchet MS"/>
      <w:b/>
      <w:bCs/>
    </w:rPr>
  </w:style>
  <w:style w:type="paragraph" w:styleId="BalloonText">
    <w:name w:val="Balloon Text"/>
    <w:basedOn w:val="Normal"/>
    <w:link w:val="BalloonTextChar"/>
    <w:uiPriority w:val="99"/>
    <w:semiHidden/>
    <w:unhideWhenUsed/>
    <w:rsid w:val="00DC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2C3"/>
    <w:rPr>
      <w:rFonts w:ascii="Tahoma" w:hAnsi="Tahoma" w:cs="Tahoma"/>
      <w:sz w:val="16"/>
      <w:szCs w:val="16"/>
    </w:rPr>
  </w:style>
  <w:style w:type="paragraph" w:styleId="Revision">
    <w:name w:val="Revision"/>
    <w:hidden/>
    <w:uiPriority w:val="99"/>
    <w:semiHidden/>
    <w:rsid w:val="007B1789"/>
    <w:rPr>
      <w:rFonts w:ascii="Trebuchet MS" w:hAnsi="Trebuchet MS"/>
      <w:sz w:val="22"/>
      <w:szCs w:val="22"/>
    </w:rPr>
  </w:style>
  <w:style w:type="table" w:styleId="TableGrid">
    <w:name w:val="Table Grid"/>
    <w:basedOn w:val="TableNormal"/>
    <w:uiPriority w:val="59"/>
    <w:unhideWhenUsed/>
    <w:rsid w:val="0070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F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1F6E"/>
    <w:rPr>
      <w:rFonts w:ascii="Trebuchet MS" w:hAnsi="Trebuchet MS"/>
      <w:sz w:val="22"/>
      <w:szCs w:val="22"/>
    </w:rPr>
  </w:style>
  <w:style w:type="paragraph" w:styleId="Footer">
    <w:name w:val="footer"/>
    <w:basedOn w:val="Normal"/>
    <w:link w:val="FooterChar"/>
    <w:uiPriority w:val="99"/>
    <w:unhideWhenUsed/>
    <w:rsid w:val="00361F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1F6E"/>
    <w:rPr>
      <w:rFonts w:ascii="Trebuchet MS" w:hAnsi="Trebuchet MS"/>
      <w:sz w:val="22"/>
      <w:szCs w:val="22"/>
    </w:rPr>
  </w:style>
  <w:style w:type="paragraph" w:styleId="NormalWeb">
    <w:name w:val="Normal (Web)"/>
    <w:basedOn w:val="Normal"/>
    <w:uiPriority w:val="99"/>
    <w:unhideWhenUsed/>
    <w:rsid w:val="00FC73C5"/>
    <w:pPr>
      <w:shd w:val="clear" w:color="auto" w:fill="FFFFFF"/>
      <w:spacing w:after="0" w:line="240" w:lineRule="auto"/>
      <w:ind w:left="0"/>
    </w:pPr>
    <w:rPr>
      <w:rFonts w:ascii="Verdana" w:eastAsia="Times New Roman" w:hAnsi="Verdana"/>
      <w:color w:val="000000"/>
      <w:sz w:val="20"/>
      <w:szCs w:val="20"/>
      <w:lang w:eastAsia="ro-RO"/>
    </w:rPr>
  </w:style>
  <w:style w:type="paragraph" w:styleId="BodyText">
    <w:name w:val="Body Text"/>
    <w:basedOn w:val="Normal"/>
    <w:link w:val="BodyTextChar"/>
    <w:rsid w:val="00F007B6"/>
    <w:pPr>
      <w:widowControl w:val="0"/>
      <w:tabs>
        <w:tab w:val="left" w:pos="720"/>
      </w:tabs>
      <w:spacing w:after="0" w:line="240" w:lineRule="auto"/>
      <w:ind w:left="0"/>
    </w:pPr>
    <w:rPr>
      <w:rFonts w:ascii="Arial" w:eastAsia="Times New Roman" w:hAnsi="Arial"/>
      <w:noProof/>
      <w:snapToGrid w:val="0"/>
      <w:color w:val="000000"/>
      <w:sz w:val="24"/>
      <w:szCs w:val="20"/>
    </w:rPr>
  </w:style>
  <w:style w:type="character" w:customStyle="1" w:styleId="BodyTextChar">
    <w:name w:val="Body Text Char"/>
    <w:basedOn w:val="DefaultParagraphFont"/>
    <w:link w:val="BodyText"/>
    <w:rsid w:val="00F007B6"/>
    <w:rPr>
      <w:rFonts w:ascii="Arial" w:eastAsia="Times New Roman" w:hAnsi="Arial"/>
      <w:noProof/>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53126">
      <w:bodyDiv w:val="1"/>
      <w:marLeft w:val="0"/>
      <w:marRight w:val="0"/>
      <w:marTop w:val="0"/>
      <w:marBottom w:val="0"/>
      <w:divBdr>
        <w:top w:val="none" w:sz="0" w:space="0" w:color="auto"/>
        <w:left w:val="none" w:sz="0" w:space="0" w:color="auto"/>
        <w:bottom w:val="none" w:sz="0" w:space="0" w:color="auto"/>
        <w:right w:val="none" w:sz="0" w:space="0" w:color="auto"/>
      </w:divBdr>
      <w:divsChild>
        <w:div w:id="1722946562">
          <w:marLeft w:val="0"/>
          <w:marRight w:val="0"/>
          <w:marTop w:val="0"/>
          <w:marBottom w:val="0"/>
          <w:divBdr>
            <w:top w:val="none" w:sz="0" w:space="0" w:color="auto"/>
            <w:left w:val="none" w:sz="0" w:space="0" w:color="auto"/>
            <w:bottom w:val="none" w:sz="0" w:space="0" w:color="auto"/>
            <w:right w:val="none" w:sz="0" w:space="0" w:color="auto"/>
          </w:divBdr>
        </w:div>
      </w:divsChild>
    </w:div>
    <w:div w:id="1161233269">
      <w:bodyDiv w:val="1"/>
      <w:marLeft w:val="0"/>
      <w:marRight w:val="0"/>
      <w:marTop w:val="0"/>
      <w:marBottom w:val="0"/>
      <w:divBdr>
        <w:top w:val="none" w:sz="0" w:space="0" w:color="auto"/>
        <w:left w:val="none" w:sz="0" w:space="0" w:color="auto"/>
        <w:bottom w:val="none" w:sz="0" w:space="0" w:color="auto"/>
        <w:right w:val="none" w:sz="0" w:space="0" w:color="auto"/>
      </w:divBdr>
      <w:divsChild>
        <w:div w:id="805245094">
          <w:marLeft w:val="0"/>
          <w:marRight w:val="0"/>
          <w:marTop w:val="0"/>
          <w:marBottom w:val="0"/>
          <w:divBdr>
            <w:top w:val="none" w:sz="0" w:space="0" w:color="auto"/>
            <w:left w:val="none" w:sz="0" w:space="0" w:color="auto"/>
            <w:bottom w:val="none" w:sz="0" w:space="0" w:color="auto"/>
            <w:right w:val="none" w:sz="0" w:space="0" w:color="auto"/>
          </w:divBdr>
        </w:div>
      </w:divsChild>
    </w:div>
    <w:div w:id="1536385974">
      <w:bodyDiv w:val="1"/>
      <w:marLeft w:val="0"/>
      <w:marRight w:val="0"/>
      <w:marTop w:val="0"/>
      <w:marBottom w:val="0"/>
      <w:divBdr>
        <w:top w:val="none" w:sz="0" w:space="0" w:color="auto"/>
        <w:left w:val="none" w:sz="0" w:space="0" w:color="auto"/>
        <w:bottom w:val="none" w:sz="0" w:space="0" w:color="auto"/>
        <w:right w:val="none" w:sz="0" w:space="0" w:color="auto"/>
      </w:divBdr>
      <w:divsChild>
        <w:div w:id="2077628433">
          <w:marLeft w:val="0"/>
          <w:marRight w:val="0"/>
          <w:marTop w:val="0"/>
          <w:marBottom w:val="0"/>
          <w:divBdr>
            <w:top w:val="none" w:sz="0" w:space="0" w:color="auto"/>
            <w:left w:val="none" w:sz="0" w:space="0" w:color="auto"/>
            <w:bottom w:val="none" w:sz="0" w:space="0" w:color="auto"/>
            <w:right w:val="none" w:sz="0" w:space="0" w:color="auto"/>
          </w:divBdr>
        </w:div>
      </w:divsChild>
    </w:div>
    <w:div w:id="1673995167">
      <w:bodyDiv w:val="1"/>
      <w:marLeft w:val="0"/>
      <w:marRight w:val="0"/>
      <w:marTop w:val="0"/>
      <w:marBottom w:val="0"/>
      <w:divBdr>
        <w:top w:val="none" w:sz="0" w:space="0" w:color="auto"/>
        <w:left w:val="none" w:sz="0" w:space="0" w:color="auto"/>
        <w:bottom w:val="none" w:sz="0" w:space="0" w:color="auto"/>
        <w:right w:val="none" w:sz="0" w:space="0" w:color="auto"/>
      </w:divBdr>
      <w:divsChild>
        <w:div w:id="484661931">
          <w:marLeft w:val="0"/>
          <w:marRight w:val="0"/>
          <w:marTop w:val="0"/>
          <w:marBottom w:val="0"/>
          <w:divBdr>
            <w:top w:val="none" w:sz="0" w:space="0" w:color="auto"/>
            <w:left w:val="none" w:sz="0" w:space="0" w:color="auto"/>
            <w:bottom w:val="none" w:sz="0" w:space="0" w:color="auto"/>
            <w:right w:val="none" w:sz="0" w:space="0" w:color="auto"/>
          </w:divBdr>
        </w:div>
      </w:divsChild>
    </w:div>
    <w:div w:id="1816755137">
      <w:bodyDiv w:val="1"/>
      <w:marLeft w:val="0"/>
      <w:marRight w:val="0"/>
      <w:marTop w:val="0"/>
      <w:marBottom w:val="0"/>
      <w:divBdr>
        <w:top w:val="none" w:sz="0" w:space="0" w:color="auto"/>
        <w:left w:val="none" w:sz="0" w:space="0" w:color="auto"/>
        <w:bottom w:val="none" w:sz="0" w:space="0" w:color="auto"/>
        <w:right w:val="none" w:sz="0" w:space="0" w:color="auto"/>
      </w:divBdr>
    </w:div>
    <w:div w:id="1849326424">
      <w:bodyDiv w:val="1"/>
      <w:marLeft w:val="0"/>
      <w:marRight w:val="0"/>
      <w:marTop w:val="0"/>
      <w:marBottom w:val="0"/>
      <w:divBdr>
        <w:top w:val="none" w:sz="0" w:space="0" w:color="auto"/>
        <w:left w:val="none" w:sz="0" w:space="0" w:color="auto"/>
        <w:bottom w:val="none" w:sz="0" w:space="0" w:color="auto"/>
        <w:right w:val="none" w:sz="0" w:space="0" w:color="auto"/>
      </w:divBdr>
      <w:divsChild>
        <w:div w:id="363604147">
          <w:marLeft w:val="0"/>
          <w:marRight w:val="0"/>
          <w:marTop w:val="0"/>
          <w:marBottom w:val="0"/>
          <w:divBdr>
            <w:top w:val="none" w:sz="0" w:space="0" w:color="auto"/>
            <w:left w:val="none" w:sz="0" w:space="0" w:color="auto"/>
            <w:bottom w:val="none" w:sz="0" w:space="0" w:color="auto"/>
            <w:right w:val="none" w:sz="0" w:space="0" w:color="auto"/>
          </w:divBdr>
        </w:div>
      </w:divsChild>
    </w:div>
    <w:div w:id="1857228420">
      <w:bodyDiv w:val="1"/>
      <w:marLeft w:val="0"/>
      <w:marRight w:val="0"/>
      <w:marTop w:val="0"/>
      <w:marBottom w:val="0"/>
      <w:divBdr>
        <w:top w:val="none" w:sz="0" w:space="0" w:color="auto"/>
        <w:left w:val="none" w:sz="0" w:space="0" w:color="auto"/>
        <w:bottom w:val="none" w:sz="0" w:space="0" w:color="auto"/>
        <w:right w:val="none" w:sz="0" w:space="0" w:color="auto"/>
      </w:divBdr>
    </w:div>
    <w:div w:id="2073001033">
      <w:bodyDiv w:val="1"/>
      <w:marLeft w:val="0"/>
      <w:marRight w:val="0"/>
      <w:marTop w:val="0"/>
      <w:marBottom w:val="0"/>
      <w:divBdr>
        <w:top w:val="none" w:sz="0" w:space="0" w:color="auto"/>
        <w:left w:val="none" w:sz="0" w:space="0" w:color="auto"/>
        <w:bottom w:val="none" w:sz="0" w:space="0" w:color="auto"/>
        <w:right w:val="none" w:sz="0" w:space="0" w:color="auto"/>
      </w:divBdr>
    </w:div>
    <w:div w:id="2075853996">
      <w:bodyDiv w:val="1"/>
      <w:marLeft w:val="0"/>
      <w:marRight w:val="0"/>
      <w:marTop w:val="0"/>
      <w:marBottom w:val="0"/>
      <w:divBdr>
        <w:top w:val="none" w:sz="0" w:space="0" w:color="auto"/>
        <w:left w:val="none" w:sz="0" w:space="0" w:color="auto"/>
        <w:bottom w:val="none" w:sz="0" w:space="0" w:color="auto"/>
        <w:right w:val="none" w:sz="0" w:space="0" w:color="auto"/>
      </w:divBdr>
      <w:divsChild>
        <w:div w:id="1271087615">
          <w:marLeft w:val="0"/>
          <w:marRight w:val="0"/>
          <w:marTop w:val="0"/>
          <w:marBottom w:val="0"/>
          <w:divBdr>
            <w:top w:val="none" w:sz="0" w:space="0" w:color="auto"/>
            <w:left w:val="none" w:sz="0" w:space="0" w:color="auto"/>
            <w:bottom w:val="none" w:sz="0" w:space="0" w:color="auto"/>
            <w:right w:val="none" w:sz="0" w:space="0" w:color="auto"/>
          </w:divBdr>
        </w:div>
      </w:divsChild>
    </w:div>
    <w:div w:id="21276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D7F23-976A-4CBC-B247-3A71F2A5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celea</dc:creator>
  <cp:lastModifiedBy>Maria Gildau</cp:lastModifiedBy>
  <cp:revision>2</cp:revision>
  <cp:lastPrinted>2023-05-05T10:40:00Z</cp:lastPrinted>
  <dcterms:created xsi:type="dcterms:W3CDTF">2023-07-12T15:22:00Z</dcterms:created>
  <dcterms:modified xsi:type="dcterms:W3CDTF">2023-07-12T15:22:00Z</dcterms:modified>
</cp:coreProperties>
</file>